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CA7" w:rsidRPr="007D2165" w:rsidRDefault="00D94CA7" w:rsidP="00D94CA7">
      <w:pPr>
        <w:pStyle w:val="Title"/>
        <w:rPr>
          <w:sz w:val="40"/>
          <w:szCs w:val="40"/>
        </w:rPr>
      </w:pPr>
      <w:r w:rsidRPr="007D2165">
        <w:rPr>
          <w:sz w:val="40"/>
          <w:szCs w:val="40"/>
        </w:rPr>
        <w:t xml:space="preserve">IS Applications Division </w:t>
      </w:r>
      <w:r>
        <w:rPr>
          <w:sz w:val="40"/>
          <w:szCs w:val="40"/>
        </w:rPr>
        <w:t xml:space="preserve">- </w:t>
      </w:r>
      <w:r w:rsidRPr="007D2165">
        <w:rPr>
          <w:sz w:val="40"/>
          <w:szCs w:val="40"/>
        </w:rPr>
        <w:t xml:space="preserve">Year End Project Report for the College of </w:t>
      </w:r>
      <w:r>
        <w:rPr>
          <w:sz w:val="40"/>
          <w:szCs w:val="40"/>
        </w:rPr>
        <w:t xml:space="preserve">Medicine and Veterinary Medicine </w:t>
      </w:r>
    </w:p>
    <w:p w:rsidR="00C646F4" w:rsidRDefault="00C646F4" w:rsidP="00C646F4">
      <w:bookmarkStart w:id="0" w:name="_GoBack"/>
      <w:bookmarkEnd w:id="0"/>
      <w:r>
        <w:t>Although a relatively small number of project days were delivered by IS Applications Division during 13/14 the programme delivered key benefits for the College in particular:</w:t>
      </w:r>
    </w:p>
    <w:p w:rsidR="00C646F4" w:rsidRDefault="00C646F4" w:rsidP="00C646F4">
      <w:pPr>
        <w:pStyle w:val="ListParagraph"/>
        <w:numPr>
          <w:ilvl w:val="0"/>
          <w:numId w:val="1"/>
        </w:numPr>
      </w:pPr>
      <w:r w:rsidRPr="00F561D5">
        <w:rPr>
          <w:b/>
          <w:i/>
        </w:rPr>
        <w:t>Hosted Websites for the Centre for Cardiovascular Science (RES044)</w:t>
      </w:r>
      <w:r>
        <w:t xml:space="preserve"> - this project implemented new IT infrastructure for the hosting of two public websites for the </w:t>
      </w:r>
      <w:r w:rsidRPr="00C646F4">
        <w:t xml:space="preserve">Centre for Cardiovascular Science </w:t>
      </w:r>
      <w:r>
        <w:t xml:space="preserve">(CCS) in the School of Biomedical Sciences. The websites are important outputs of the International Union of Pharmacology Nomenclature Committee and the British Pharmacological Society and are accessed by scientists from 160 countries. The websites and their </w:t>
      </w:r>
      <w:proofErr w:type="gramStart"/>
      <w:r>
        <w:t>supporting  databases</w:t>
      </w:r>
      <w:proofErr w:type="gramEnd"/>
      <w:r>
        <w:t xml:space="preserve"> had grown significantly in scope and usage in recent years and required more advanced hosting solutions than could be provided locally within the School. The new IT infrastructure will be supported by IS saving significant CCS effort over the new few years.</w:t>
      </w:r>
      <w:r w:rsidRPr="00AC03D8">
        <w:rPr>
          <w:b/>
        </w:rPr>
        <w:t xml:space="preserve"> </w:t>
      </w:r>
      <w:r>
        <w:t>The division received very positive feedback from CCS for this work: "Many thanks to you and the rest of the team for your excellent management of a complex project."</w:t>
      </w:r>
    </w:p>
    <w:p w:rsidR="00C646F4" w:rsidRPr="00AC03D8" w:rsidRDefault="00C646F4" w:rsidP="00C646F4">
      <w:pPr>
        <w:pStyle w:val="ListParagraph"/>
        <w:numPr>
          <w:ilvl w:val="0"/>
          <w:numId w:val="1"/>
        </w:numPr>
      </w:pPr>
      <w:proofErr w:type="spellStart"/>
      <w:r w:rsidRPr="00F561D5">
        <w:rPr>
          <w:b/>
          <w:i/>
        </w:rPr>
        <w:t>Roslin</w:t>
      </w:r>
      <w:proofErr w:type="spellEnd"/>
      <w:r w:rsidRPr="00F561D5">
        <w:rPr>
          <w:b/>
          <w:i/>
        </w:rPr>
        <w:t xml:space="preserve"> Mouse Database Migration (RES047)</w:t>
      </w:r>
      <w:r>
        <w:t xml:space="preserve"> – this project </w:t>
      </w:r>
      <w:proofErr w:type="gramStart"/>
      <w:r>
        <w:t>migrated</w:t>
      </w:r>
      <w:proofErr w:type="gramEnd"/>
      <w:r>
        <w:t xml:space="preserve"> a key laboratory support system to a more resilient IT infrastructure for the </w:t>
      </w:r>
      <w:proofErr w:type="spellStart"/>
      <w:r>
        <w:t>Roslin</w:t>
      </w:r>
      <w:proofErr w:type="spellEnd"/>
      <w:r>
        <w:t xml:space="preserve"> Institute.</w:t>
      </w:r>
    </w:p>
    <w:p w:rsidR="00C646F4" w:rsidRDefault="00C646F4" w:rsidP="00C646F4">
      <w:r>
        <w:t xml:space="preserve">Other project work for the College included: </w:t>
      </w:r>
    </w:p>
    <w:p w:rsidR="00C646F4" w:rsidRDefault="00C646F4" w:rsidP="00C646F4">
      <w:pPr>
        <w:pStyle w:val="ListParagraph"/>
        <w:numPr>
          <w:ilvl w:val="0"/>
          <w:numId w:val="2"/>
        </w:numPr>
      </w:pPr>
      <w:r>
        <w:t>An agile software development project for the Edinburgh Patient Partnership Supporting Assessment and Training team (EPPSAT) to support teaching and assessment for undergraduate and postgraduate medical candidates (MVM001)</w:t>
      </w:r>
    </w:p>
    <w:p w:rsidR="00C646F4" w:rsidRDefault="00C646F4" w:rsidP="00C646F4">
      <w:pPr>
        <w:pStyle w:val="ListParagraph"/>
        <w:numPr>
          <w:ilvl w:val="0"/>
          <w:numId w:val="2"/>
        </w:numPr>
      </w:pPr>
      <w:r>
        <w:t xml:space="preserve">A multi-strand project to migrate the Learning Technology Section within the College  </w:t>
      </w:r>
      <w:hyperlink r:id="rId6" w:history="1">
        <w:r w:rsidRPr="00A251D0">
          <w:rPr>
            <w:rStyle w:val="Hyperlink"/>
          </w:rPr>
          <w:t>http://www.lts.mvm.ed.ac.uk/</w:t>
        </w:r>
      </w:hyperlink>
      <w:r>
        <w:t xml:space="preserve"> to Information Services (MVM002) </w:t>
      </w:r>
    </w:p>
    <w:p w:rsidR="00C646F4" w:rsidRDefault="00C646F4" w:rsidP="00C646F4">
      <w:r>
        <w:t>The programme has also funded a number of small analysis pieces, where IS Applications have review the requirements for several units such as Additional Cost of Teaching, Clinical Research Facility, Simulated Patients, to provide estimates and options for each unit to use in developing any business case for further developments.</w:t>
      </w:r>
    </w:p>
    <w:p w:rsidR="00C646F4" w:rsidRDefault="00C646F4" w:rsidP="00C646F4">
      <w:pPr>
        <w:pStyle w:val="Heading2"/>
      </w:pPr>
      <w:r>
        <w:t xml:space="preserve">Summary Statistics </w:t>
      </w:r>
    </w:p>
    <w:tbl>
      <w:tblPr>
        <w:tblStyle w:val="LightShading-Accent1"/>
        <w:tblW w:w="0" w:type="auto"/>
        <w:tblLook w:val="0400" w:firstRow="0" w:lastRow="0" w:firstColumn="0" w:lastColumn="0" w:noHBand="0" w:noVBand="1"/>
      </w:tblPr>
      <w:tblGrid>
        <w:gridCol w:w="6629"/>
        <w:gridCol w:w="709"/>
      </w:tblGrid>
      <w:tr w:rsidR="00C646F4" w:rsidTr="00EA7982">
        <w:trPr>
          <w:cnfStyle w:val="000000100000" w:firstRow="0" w:lastRow="0" w:firstColumn="0" w:lastColumn="0" w:oddVBand="0" w:evenVBand="0" w:oddHBand="1" w:evenHBand="0" w:firstRowFirstColumn="0" w:firstRowLastColumn="0" w:lastRowFirstColumn="0" w:lastRowLastColumn="0"/>
        </w:trPr>
        <w:tc>
          <w:tcPr>
            <w:tcW w:w="6629" w:type="dxa"/>
            <w:tcBorders>
              <w:top w:val="single" w:sz="8" w:space="0" w:color="4F81BD" w:themeColor="accent1"/>
              <w:bottom w:val="nil"/>
            </w:tcBorders>
            <w:hideMark/>
          </w:tcPr>
          <w:p w:rsidR="00C646F4" w:rsidRDefault="00C646F4" w:rsidP="00EA7982">
            <w:r>
              <w:t>Programme Budget (Start of Year)</w:t>
            </w:r>
          </w:p>
        </w:tc>
        <w:tc>
          <w:tcPr>
            <w:tcW w:w="709" w:type="dxa"/>
            <w:tcBorders>
              <w:top w:val="single" w:sz="8" w:space="0" w:color="4F81BD" w:themeColor="accent1"/>
              <w:bottom w:val="nil"/>
            </w:tcBorders>
            <w:hideMark/>
          </w:tcPr>
          <w:p w:rsidR="00C646F4" w:rsidRDefault="00C646F4" w:rsidP="00EA7982">
            <w:pPr>
              <w:jc w:val="center"/>
            </w:pPr>
            <w:r>
              <w:t>162</w:t>
            </w:r>
          </w:p>
        </w:tc>
      </w:tr>
      <w:tr w:rsidR="00C646F4" w:rsidTr="00EA7982">
        <w:tc>
          <w:tcPr>
            <w:tcW w:w="6629" w:type="dxa"/>
            <w:tcBorders>
              <w:top w:val="nil"/>
              <w:left w:val="nil"/>
              <w:bottom w:val="nil"/>
              <w:right w:val="nil"/>
            </w:tcBorders>
            <w:hideMark/>
          </w:tcPr>
          <w:p w:rsidR="00C646F4" w:rsidRDefault="00C646F4" w:rsidP="00EA7982">
            <w:r>
              <w:t>Project Days Delivered</w:t>
            </w:r>
          </w:p>
        </w:tc>
        <w:tc>
          <w:tcPr>
            <w:tcW w:w="709" w:type="dxa"/>
            <w:tcBorders>
              <w:top w:val="nil"/>
              <w:left w:val="nil"/>
              <w:bottom w:val="nil"/>
              <w:right w:val="nil"/>
            </w:tcBorders>
            <w:hideMark/>
          </w:tcPr>
          <w:p w:rsidR="00C646F4" w:rsidRDefault="00C646F4" w:rsidP="00EA7982">
            <w:pPr>
              <w:jc w:val="center"/>
            </w:pPr>
            <w:r>
              <w:t>138</w:t>
            </w:r>
          </w:p>
        </w:tc>
      </w:tr>
      <w:tr w:rsidR="00C646F4" w:rsidTr="00EA7982">
        <w:trPr>
          <w:cnfStyle w:val="000000100000" w:firstRow="0" w:lastRow="0" w:firstColumn="0" w:lastColumn="0" w:oddVBand="0" w:evenVBand="0" w:oddHBand="1" w:evenHBand="0" w:firstRowFirstColumn="0" w:firstRowLastColumn="0" w:lastRowFirstColumn="0" w:lastRowLastColumn="0"/>
        </w:trPr>
        <w:tc>
          <w:tcPr>
            <w:tcW w:w="6629" w:type="dxa"/>
            <w:tcBorders>
              <w:top w:val="nil"/>
              <w:bottom w:val="nil"/>
            </w:tcBorders>
            <w:hideMark/>
          </w:tcPr>
          <w:p w:rsidR="00C646F4" w:rsidRDefault="00C646F4" w:rsidP="00EA7982">
            <w:r>
              <w:t>Project Days Delivered vs Budget</w:t>
            </w:r>
          </w:p>
        </w:tc>
        <w:tc>
          <w:tcPr>
            <w:tcW w:w="709" w:type="dxa"/>
            <w:tcBorders>
              <w:top w:val="nil"/>
              <w:bottom w:val="nil"/>
            </w:tcBorders>
            <w:hideMark/>
          </w:tcPr>
          <w:p w:rsidR="00C646F4" w:rsidRDefault="00C646F4" w:rsidP="00EA7982">
            <w:pPr>
              <w:jc w:val="center"/>
            </w:pPr>
            <w:r>
              <w:t>85%</w:t>
            </w:r>
          </w:p>
        </w:tc>
      </w:tr>
      <w:tr w:rsidR="00C646F4" w:rsidTr="00EA7982">
        <w:tc>
          <w:tcPr>
            <w:tcW w:w="6629" w:type="dxa"/>
            <w:tcBorders>
              <w:top w:val="nil"/>
              <w:left w:val="nil"/>
              <w:bottom w:val="nil"/>
              <w:right w:val="nil"/>
            </w:tcBorders>
            <w:hideMark/>
          </w:tcPr>
          <w:p w:rsidR="00C646F4" w:rsidRDefault="00C646F4" w:rsidP="00EA7982">
            <w:r>
              <w:t>Projects To Complete (Start of Year)</w:t>
            </w:r>
          </w:p>
        </w:tc>
        <w:tc>
          <w:tcPr>
            <w:tcW w:w="709" w:type="dxa"/>
            <w:tcBorders>
              <w:top w:val="nil"/>
              <w:left w:val="nil"/>
              <w:bottom w:val="nil"/>
              <w:right w:val="nil"/>
            </w:tcBorders>
            <w:hideMark/>
          </w:tcPr>
          <w:p w:rsidR="00C646F4" w:rsidRDefault="00C646F4" w:rsidP="00EA7982">
            <w:pPr>
              <w:jc w:val="center"/>
            </w:pPr>
            <w:r>
              <w:t>0</w:t>
            </w:r>
          </w:p>
        </w:tc>
      </w:tr>
      <w:tr w:rsidR="00C646F4" w:rsidTr="00EA7982">
        <w:trPr>
          <w:cnfStyle w:val="000000100000" w:firstRow="0" w:lastRow="0" w:firstColumn="0" w:lastColumn="0" w:oddVBand="0" w:evenVBand="0" w:oddHBand="1" w:evenHBand="0" w:firstRowFirstColumn="0" w:firstRowLastColumn="0" w:lastRowFirstColumn="0" w:lastRowLastColumn="0"/>
        </w:trPr>
        <w:tc>
          <w:tcPr>
            <w:tcW w:w="6629" w:type="dxa"/>
            <w:tcBorders>
              <w:top w:val="nil"/>
              <w:bottom w:val="nil"/>
            </w:tcBorders>
            <w:hideMark/>
          </w:tcPr>
          <w:p w:rsidR="00C646F4" w:rsidRDefault="00C646F4" w:rsidP="00EA7982">
            <w:r>
              <w:t>Projects Delivered</w:t>
            </w:r>
          </w:p>
        </w:tc>
        <w:tc>
          <w:tcPr>
            <w:tcW w:w="709" w:type="dxa"/>
            <w:tcBorders>
              <w:top w:val="nil"/>
              <w:bottom w:val="nil"/>
            </w:tcBorders>
            <w:hideMark/>
          </w:tcPr>
          <w:p w:rsidR="00C646F4" w:rsidRDefault="00C646F4" w:rsidP="00EA7982">
            <w:pPr>
              <w:jc w:val="center"/>
            </w:pPr>
            <w:r>
              <w:t>2</w:t>
            </w:r>
          </w:p>
        </w:tc>
      </w:tr>
      <w:tr w:rsidR="00C646F4" w:rsidTr="00EA7982">
        <w:tc>
          <w:tcPr>
            <w:tcW w:w="6629" w:type="dxa"/>
            <w:tcBorders>
              <w:top w:val="nil"/>
              <w:left w:val="nil"/>
              <w:bottom w:val="nil"/>
              <w:right w:val="nil"/>
            </w:tcBorders>
            <w:hideMark/>
          </w:tcPr>
          <w:p w:rsidR="00C646F4" w:rsidRDefault="00C646F4" w:rsidP="00EA7982">
            <w:r>
              <w:t xml:space="preserve">Projects Withdrawn </w:t>
            </w:r>
          </w:p>
        </w:tc>
        <w:tc>
          <w:tcPr>
            <w:tcW w:w="709" w:type="dxa"/>
            <w:tcBorders>
              <w:top w:val="nil"/>
              <w:left w:val="nil"/>
              <w:bottom w:val="nil"/>
              <w:right w:val="nil"/>
            </w:tcBorders>
            <w:hideMark/>
          </w:tcPr>
          <w:p w:rsidR="00C646F4" w:rsidRDefault="00C646F4" w:rsidP="00EA7982">
            <w:pPr>
              <w:jc w:val="center"/>
            </w:pPr>
            <w:r>
              <w:t>0</w:t>
            </w:r>
          </w:p>
        </w:tc>
      </w:tr>
      <w:tr w:rsidR="00C646F4" w:rsidTr="00EA7982">
        <w:trPr>
          <w:cnfStyle w:val="000000100000" w:firstRow="0" w:lastRow="0" w:firstColumn="0" w:lastColumn="0" w:oddVBand="0" w:evenVBand="0" w:oddHBand="1" w:evenHBand="0" w:firstRowFirstColumn="0" w:firstRowLastColumn="0" w:lastRowFirstColumn="0" w:lastRowLastColumn="0"/>
        </w:trPr>
        <w:tc>
          <w:tcPr>
            <w:tcW w:w="6629" w:type="dxa"/>
            <w:tcBorders>
              <w:top w:val="nil"/>
              <w:bottom w:val="nil"/>
            </w:tcBorders>
            <w:hideMark/>
          </w:tcPr>
          <w:p w:rsidR="00C646F4" w:rsidRDefault="00C646F4" w:rsidP="00EA7982">
            <w:r>
              <w:t>In Year Projects</w:t>
            </w:r>
          </w:p>
        </w:tc>
        <w:tc>
          <w:tcPr>
            <w:tcW w:w="709" w:type="dxa"/>
            <w:tcBorders>
              <w:top w:val="nil"/>
              <w:bottom w:val="nil"/>
            </w:tcBorders>
            <w:hideMark/>
          </w:tcPr>
          <w:p w:rsidR="00C646F4" w:rsidRDefault="00C646F4" w:rsidP="00EA7982">
            <w:pPr>
              <w:jc w:val="center"/>
            </w:pPr>
            <w:r>
              <w:t>2</w:t>
            </w:r>
          </w:p>
        </w:tc>
      </w:tr>
      <w:tr w:rsidR="00C646F4" w:rsidTr="00EA7982">
        <w:tc>
          <w:tcPr>
            <w:tcW w:w="6629" w:type="dxa"/>
            <w:tcBorders>
              <w:top w:val="nil"/>
              <w:left w:val="nil"/>
              <w:bottom w:val="single" w:sz="8" w:space="0" w:color="4F81BD" w:themeColor="accent1"/>
              <w:right w:val="nil"/>
            </w:tcBorders>
            <w:hideMark/>
          </w:tcPr>
          <w:p w:rsidR="00C646F4" w:rsidRDefault="00C646F4" w:rsidP="00EA7982">
            <w:pPr>
              <w:rPr>
                <w:b/>
                <w:i/>
              </w:rPr>
            </w:pPr>
            <w:r>
              <w:rPr>
                <w:b/>
                <w:i/>
              </w:rPr>
              <w:t>Project Completion Rate (Excluding Withdrawn and In Year Projects)</w:t>
            </w:r>
          </w:p>
        </w:tc>
        <w:tc>
          <w:tcPr>
            <w:tcW w:w="709" w:type="dxa"/>
            <w:tcBorders>
              <w:top w:val="nil"/>
              <w:left w:val="nil"/>
              <w:bottom w:val="single" w:sz="8" w:space="0" w:color="4F81BD" w:themeColor="accent1"/>
              <w:right w:val="nil"/>
            </w:tcBorders>
            <w:hideMark/>
          </w:tcPr>
          <w:p w:rsidR="00C646F4" w:rsidRDefault="00C646F4" w:rsidP="00EA7982">
            <w:pPr>
              <w:jc w:val="center"/>
              <w:rPr>
                <w:b/>
                <w:i/>
              </w:rPr>
            </w:pPr>
            <w:r>
              <w:rPr>
                <w:b/>
                <w:i/>
              </w:rPr>
              <w:t>n/a</w:t>
            </w:r>
          </w:p>
        </w:tc>
      </w:tr>
    </w:tbl>
    <w:p w:rsidR="00CB3794" w:rsidRDefault="00CB3794" w:rsidP="00C646F4">
      <w:pPr>
        <w:pStyle w:val="Heading1"/>
      </w:pPr>
    </w:p>
    <w:sectPr w:rsidR="00CB3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1613D"/>
    <w:multiLevelType w:val="hybridMultilevel"/>
    <w:tmpl w:val="34B6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FE4AD3"/>
    <w:multiLevelType w:val="hybridMultilevel"/>
    <w:tmpl w:val="6530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F4"/>
    <w:rsid w:val="0097621A"/>
    <w:rsid w:val="00C646F4"/>
    <w:rsid w:val="00CB3794"/>
    <w:rsid w:val="00CF013F"/>
    <w:rsid w:val="00D94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F4"/>
  </w:style>
  <w:style w:type="paragraph" w:styleId="Heading1">
    <w:name w:val="heading 1"/>
    <w:basedOn w:val="Normal"/>
    <w:next w:val="Normal"/>
    <w:link w:val="Heading1Char"/>
    <w:uiPriority w:val="9"/>
    <w:qFormat/>
    <w:rsid w:val="00C64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6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F4"/>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C646F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C646F4"/>
    <w:pPr>
      <w:ind w:left="720"/>
      <w:contextualSpacing/>
    </w:pPr>
  </w:style>
  <w:style w:type="character" w:styleId="Hyperlink">
    <w:name w:val="Hyperlink"/>
    <w:basedOn w:val="DefaultParagraphFont"/>
    <w:uiPriority w:val="99"/>
    <w:unhideWhenUsed/>
    <w:rsid w:val="00C646F4"/>
    <w:rPr>
      <w:color w:val="0000FF"/>
      <w:u w:val="single"/>
    </w:rPr>
  </w:style>
  <w:style w:type="character" w:customStyle="1" w:styleId="Heading2Char">
    <w:name w:val="Heading 2 Char"/>
    <w:basedOn w:val="DefaultParagraphFont"/>
    <w:link w:val="Heading2"/>
    <w:uiPriority w:val="9"/>
    <w:rsid w:val="00C646F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94C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4CA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6F4"/>
  </w:style>
  <w:style w:type="paragraph" w:styleId="Heading1">
    <w:name w:val="heading 1"/>
    <w:basedOn w:val="Normal"/>
    <w:next w:val="Normal"/>
    <w:link w:val="Heading1Char"/>
    <w:uiPriority w:val="9"/>
    <w:qFormat/>
    <w:rsid w:val="00C64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46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F4"/>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C646F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C646F4"/>
    <w:pPr>
      <w:ind w:left="720"/>
      <w:contextualSpacing/>
    </w:pPr>
  </w:style>
  <w:style w:type="character" w:styleId="Hyperlink">
    <w:name w:val="Hyperlink"/>
    <w:basedOn w:val="DefaultParagraphFont"/>
    <w:uiPriority w:val="99"/>
    <w:unhideWhenUsed/>
    <w:rsid w:val="00C646F4"/>
    <w:rPr>
      <w:color w:val="0000FF"/>
      <w:u w:val="single"/>
    </w:rPr>
  </w:style>
  <w:style w:type="character" w:customStyle="1" w:styleId="Heading2Char">
    <w:name w:val="Heading 2 Char"/>
    <w:basedOn w:val="DefaultParagraphFont"/>
    <w:link w:val="Heading2"/>
    <w:uiPriority w:val="9"/>
    <w:rsid w:val="00C646F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94C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4CA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ts.mvm.ed.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RITCHIE</dc:creator>
  <cp:lastModifiedBy>Mark RITCHIE</cp:lastModifiedBy>
  <cp:revision>3</cp:revision>
  <dcterms:created xsi:type="dcterms:W3CDTF">2014-10-07T06:33:00Z</dcterms:created>
  <dcterms:modified xsi:type="dcterms:W3CDTF">2014-10-07T07:02:00Z</dcterms:modified>
</cp:coreProperties>
</file>