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30" w:rsidRDefault="00097D93" w:rsidP="00C82AE0">
      <w:pPr>
        <w:pStyle w:val="Heading1"/>
        <w:jc w:val="center"/>
      </w:pPr>
      <w:r w:rsidRPr="00097D93">
        <w:t xml:space="preserve">IS Applications </w:t>
      </w:r>
      <w:r w:rsidR="00DE0845">
        <w:t>3 Year Rolling</w:t>
      </w:r>
      <w:r w:rsidR="00DE0845" w:rsidRPr="00097D93">
        <w:t xml:space="preserve"> </w:t>
      </w:r>
      <w:r w:rsidRPr="00097D93">
        <w:t>Planning 201</w:t>
      </w:r>
      <w:r w:rsidR="00DE0845">
        <w:t>4</w:t>
      </w:r>
      <w:r w:rsidRPr="00097D93">
        <w:t>/1</w:t>
      </w:r>
      <w:r w:rsidR="00DE0845">
        <w:t>5 to 2016/17</w:t>
      </w:r>
    </w:p>
    <w:p w:rsidR="009F3B26" w:rsidRPr="009F3B26" w:rsidRDefault="008B5CEE" w:rsidP="009C27AB">
      <w:pPr>
        <w:pStyle w:val="Heading2"/>
      </w:pPr>
      <w:r>
        <w:t>Proposal Suggestion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1842"/>
        <w:gridCol w:w="1843"/>
        <w:gridCol w:w="1843"/>
      </w:tblGrid>
      <w:tr w:rsidR="000D528D" w:rsidRPr="008B5CEE" w:rsidTr="000C3623">
        <w:tc>
          <w:tcPr>
            <w:tcW w:w="2093" w:type="dxa"/>
            <w:shd w:val="clear" w:color="auto" w:fill="D9D9D9" w:themeFill="background1" w:themeFillShade="D9"/>
          </w:tcPr>
          <w:p w:rsidR="009F3B26" w:rsidRPr="00097D93" w:rsidRDefault="009F3B26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</w:t>
            </w:r>
          </w:p>
        </w:tc>
        <w:tc>
          <w:tcPr>
            <w:tcW w:w="4819" w:type="dxa"/>
            <w:gridSpan w:val="2"/>
          </w:tcPr>
          <w:p w:rsidR="009F3B26" w:rsidRPr="008B5CEE" w:rsidRDefault="00637826" w:rsidP="00637826">
            <w:pPr>
              <w:rPr>
                <w:i/>
              </w:rPr>
            </w:pPr>
            <w:r>
              <w:rPr>
                <w:i/>
              </w:rPr>
              <w:t>Infrastructure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F3B26" w:rsidRPr="005D0AFD" w:rsidRDefault="009F3B26" w:rsidP="00C26119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>Programme Priority</w:t>
            </w:r>
          </w:p>
        </w:tc>
        <w:tc>
          <w:tcPr>
            <w:tcW w:w="1843" w:type="dxa"/>
          </w:tcPr>
          <w:p w:rsidR="009F3B26" w:rsidRPr="008B5CEE" w:rsidRDefault="000319A1" w:rsidP="00C26119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1B4393" w:rsidRPr="008B5CEE" w:rsidTr="000C3623">
        <w:tc>
          <w:tcPr>
            <w:tcW w:w="2093" w:type="dxa"/>
            <w:shd w:val="clear" w:color="auto" w:fill="D9D9D9" w:themeFill="background1" w:themeFillShade="D9"/>
          </w:tcPr>
          <w:p w:rsidR="001B4393" w:rsidRDefault="001B4393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Portfolio</w:t>
            </w:r>
          </w:p>
        </w:tc>
        <w:tc>
          <w:tcPr>
            <w:tcW w:w="4819" w:type="dxa"/>
            <w:gridSpan w:val="2"/>
          </w:tcPr>
          <w:p w:rsidR="001B4393" w:rsidRPr="008B5CEE" w:rsidRDefault="00637826" w:rsidP="00637826">
            <w:pPr>
              <w:rPr>
                <w:i/>
              </w:rPr>
            </w:pPr>
            <w:r>
              <w:rPr>
                <w:i/>
              </w:rPr>
              <w:t>ISG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B4393" w:rsidRPr="005D0AFD" w:rsidRDefault="001B4393" w:rsidP="00C26119">
            <w:pPr>
              <w:rPr>
                <w:sz w:val="24"/>
                <w:szCs w:val="24"/>
              </w:rPr>
            </w:pPr>
            <w:r w:rsidRPr="005D0AFD">
              <w:rPr>
                <w:sz w:val="24"/>
                <w:szCs w:val="24"/>
              </w:rPr>
              <w:t>Portfolio Priorit</w:t>
            </w:r>
            <w:r w:rsidR="005D0AFD" w:rsidRPr="005D0AFD">
              <w:rPr>
                <w:sz w:val="24"/>
                <w:szCs w:val="24"/>
              </w:rPr>
              <w:t>y</w:t>
            </w:r>
          </w:p>
        </w:tc>
        <w:tc>
          <w:tcPr>
            <w:tcW w:w="1843" w:type="dxa"/>
          </w:tcPr>
          <w:p w:rsidR="001B4393" w:rsidRPr="008B5CEE" w:rsidRDefault="001B4393" w:rsidP="00C26119">
            <w:pPr>
              <w:rPr>
                <w:i/>
              </w:rPr>
            </w:pPr>
          </w:p>
        </w:tc>
      </w:tr>
      <w:tr w:rsidR="008B5CEE" w:rsidRPr="00097D93" w:rsidTr="000C3623">
        <w:tc>
          <w:tcPr>
            <w:tcW w:w="2093" w:type="dxa"/>
            <w:shd w:val="clear" w:color="auto" w:fill="D9D9D9" w:themeFill="background1" w:themeFillShade="D9"/>
          </w:tcPr>
          <w:p w:rsidR="008B5CEE" w:rsidRPr="00097D93" w:rsidRDefault="009F3B26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 Name</w:t>
            </w:r>
          </w:p>
        </w:tc>
        <w:tc>
          <w:tcPr>
            <w:tcW w:w="8505" w:type="dxa"/>
            <w:gridSpan w:val="4"/>
          </w:tcPr>
          <w:p w:rsidR="00044CE5" w:rsidRPr="008B5CEE" w:rsidRDefault="008B5CEE" w:rsidP="000319A1">
            <w:pPr>
              <w:rPr>
                <w:i/>
              </w:rPr>
            </w:pPr>
            <w:r w:rsidRPr="008B5CEE">
              <w:rPr>
                <w:i/>
              </w:rPr>
              <w:t xml:space="preserve"> </w:t>
            </w:r>
            <w:r w:rsidR="000319A1">
              <w:rPr>
                <w:i/>
              </w:rPr>
              <w:t xml:space="preserve">Procure - </w:t>
            </w:r>
            <w:r w:rsidR="000319A1" w:rsidRPr="00392744">
              <w:rPr>
                <w:i/>
              </w:rPr>
              <w:t>Implement monitoring solution</w:t>
            </w:r>
            <w:bookmarkStart w:id="0" w:name="_GoBack"/>
            <w:bookmarkEnd w:id="0"/>
          </w:p>
        </w:tc>
      </w:tr>
      <w:tr w:rsidR="008B5CEE" w:rsidRPr="00097D93" w:rsidTr="000C3623">
        <w:tc>
          <w:tcPr>
            <w:tcW w:w="2093" w:type="dxa"/>
            <w:shd w:val="clear" w:color="auto" w:fill="D9D9D9" w:themeFill="background1" w:themeFillShade="D9"/>
          </w:tcPr>
          <w:p w:rsidR="008B5CEE" w:rsidRDefault="00B4303F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 Sponsor</w:t>
            </w:r>
          </w:p>
        </w:tc>
        <w:tc>
          <w:tcPr>
            <w:tcW w:w="8505" w:type="dxa"/>
            <w:gridSpan w:val="4"/>
          </w:tcPr>
          <w:p w:rsidR="003535B4" w:rsidRPr="008B5CEE" w:rsidRDefault="003535B4" w:rsidP="00C26119">
            <w:pPr>
              <w:rPr>
                <w:i/>
              </w:rPr>
            </w:pPr>
            <w:r>
              <w:rPr>
                <w:i/>
              </w:rPr>
              <w:t>David Smyth</w:t>
            </w:r>
          </w:p>
        </w:tc>
      </w:tr>
      <w:tr w:rsidR="009C27AB" w:rsidRPr="00097D93" w:rsidTr="000C3623">
        <w:tc>
          <w:tcPr>
            <w:tcW w:w="2093" w:type="dxa"/>
            <w:shd w:val="clear" w:color="auto" w:fill="D9D9D9" w:themeFill="background1" w:themeFillShade="D9"/>
          </w:tcPr>
          <w:p w:rsidR="009C27AB" w:rsidRDefault="009C27AB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Contributors</w:t>
            </w:r>
          </w:p>
        </w:tc>
        <w:tc>
          <w:tcPr>
            <w:tcW w:w="8505" w:type="dxa"/>
            <w:gridSpan w:val="4"/>
          </w:tcPr>
          <w:p w:rsidR="000C3623" w:rsidRPr="008B5CEE" w:rsidRDefault="007100CA" w:rsidP="00C26119">
            <w:pPr>
              <w:rPr>
                <w:i/>
              </w:rPr>
            </w:pPr>
            <w:r>
              <w:rPr>
                <w:i/>
              </w:rPr>
              <w:t xml:space="preserve">Stefan </w:t>
            </w:r>
            <w:proofErr w:type="spellStart"/>
            <w:r>
              <w:rPr>
                <w:i/>
              </w:rPr>
              <w:t>Kaempf</w:t>
            </w:r>
            <w:proofErr w:type="spellEnd"/>
            <w:r>
              <w:rPr>
                <w:i/>
              </w:rPr>
              <w:t>, H</w:t>
            </w:r>
            <w:r w:rsidR="00E70574">
              <w:rPr>
                <w:i/>
              </w:rPr>
              <w:t>e</w:t>
            </w:r>
            <w:r>
              <w:rPr>
                <w:i/>
              </w:rPr>
              <w:t xml:space="preserve">ather </w:t>
            </w:r>
            <w:proofErr w:type="spellStart"/>
            <w:r>
              <w:rPr>
                <w:i/>
              </w:rPr>
              <w:t>Larnach</w:t>
            </w:r>
            <w:proofErr w:type="spellEnd"/>
            <w:r>
              <w:rPr>
                <w:i/>
              </w:rPr>
              <w:t xml:space="preserve">, Iain </w:t>
            </w:r>
            <w:proofErr w:type="spellStart"/>
            <w:r>
              <w:rPr>
                <w:i/>
              </w:rPr>
              <w:t>Fiddes</w:t>
            </w:r>
            <w:proofErr w:type="spellEnd"/>
          </w:p>
        </w:tc>
      </w:tr>
      <w:tr w:rsidR="009F3B26" w:rsidRPr="00097D93" w:rsidTr="000C3623">
        <w:trPr>
          <w:trHeight w:val="988"/>
        </w:trPr>
        <w:tc>
          <w:tcPr>
            <w:tcW w:w="2093" w:type="dxa"/>
            <w:shd w:val="clear" w:color="auto" w:fill="D9D9D9" w:themeFill="background1" w:themeFillShade="D9"/>
          </w:tcPr>
          <w:p w:rsidR="009F3B26" w:rsidRDefault="0097066C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it is</w:t>
            </w:r>
          </w:p>
        </w:tc>
        <w:tc>
          <w:tcPr>
            <w:tcW w:w="8505" w:type="dxa"/>
            <w:gridSpan w:val="4"/>
          </w:tcPr>
          <w:p w:rsidR="00B05E1F" w:rsidRDefault="00C60E21" w:rsidP="00C60E21">
            <w:pPr>
              <w:rPr>
                <w:i/>
              </w:rPr>
            </w:pPr>
            <w:r w:rsidRPr="001654E8">
              <w:rPr>
                <w:i/>
              </w:rPr>
              <w:t xml:space="preserve">This </w:t>
            </w:r>
            <w:r w:rsidR="00B05E1F">
              <w:rPr>
                <w:i/>
              </w:rPr>
              <w:t>project follows the recommendations of the “</w:t>
            </w:r>
            <w:r w:rsidR="00B05E1F" w:rsidRPr="00637826">
              <w:rPr>
                <w:i/>
              </w:rPr>
              <w:t>Options appraisal on monitoring solutions</w:t>
            </w:r>
            <w:r w:rsidR="00B05E1F">
              <w:rPr>
                <w:i/>
              </w:rPr>
              <w:t xml:space="preserve">” business case project. At this point it is not known if this </w:t>
            </w:r>
            <w:r w:rsidR="005976C3">
              <w:rPr>
                <w:i/>
              </w:rPr>
              <w:t xml:space="preserve">project </w:t>
            </w:r>
            <w:r w:rsidR="00B05E1F">
              <w:rPr>
                <w:i/>
              </w:rPr>
              <w:t>will procur</w:t>
            </w:r>
            <w:r w:rsidR="005976C3">
              <w:rPr>
                <w:i/>
              </w:rPr>
              <w:t>e</w:t>
            </w:r>
            <w:r w:rsidR="00B05E1F">
              <w:rPr>
                <w:i/>
              </w:rPr>
              <w:t xml:space="preserve"> a new monitoring tool or use already existing monitoring tools.</w:t>
            </w:r>
          </w:p>
          <w:p w:rsidR="00B05E1F" w:rsidRDefault="00B05E1F" w:rsidP="00C60E21">
            <w:pPr>
              <w:rPr>
                <w:i/>
              </w:rPr>
            </w:pPr>
          </w:p>
          <w:p w:rsidR="00B05E1F" w:rsidRDefault="00B05E1F" w:rsidP="00C60E21">
            <w:pPr>
              <w:rPr>
                <w:i/>
              </w:rPr>
            </w:pPr>
            <w:r>
              <w:rPr>
                <w:i/>
              </w:rPr>
              <w:t>The main deliveries are</w:t>
            </w:r>
          </w:p>
          <w:p w:rsidR="00B05E1F" w:rsidRDefault="00B05E1F" w:rsidP="00B05E1F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Procure monitoring tool. If an already used monitoring toll is chosen, this delivery may require less work, but licensing and usage of the monitoring toll will still be required.</w:t>
            </w:r>
          </w:p>
          <w:p w:rsidR="003C1C0C" w:rsidRDefault="00B05E1F" w:rsidP="00B05E1F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 xml:space="preserve">Implementing </w:t>
            </w:r>
            <w:r w:rsidR="003C1C0C">
              <w:rPr>
                <w:i/>
              </w:rPr>
              <w:t>the monitoring tool. Both new and existing monitoring tools will require implementation, as roles, access and process will have to be (re-)defined.</w:t>
            </w:r>
          </w:p>
          <w:p w:rsidR="009F3B26" w:rsidRDefault="003C1C0C" w:rsidP="00C26119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Configure the monitoring tool. This will include setting up measures, notifications, reports and dashboards as well as process how future services are added to the monitoring tool.</w:t>
            </w:r>
          </w:p>
          <w:p w:rsidR="009B7378" w:rsidRDefault="009B7378" w:rsidP="005976C3">
            <w:pPr>
              <w:rPr>
                <w:i/>
              </w:rPr>
            </w:pPr>
            <w:r>
              <w:rPr>
                <w:i/>
              </w:rPr>
              <w:t>The procured/implemented monitoring tool will provide:</w:t>
            </w:r>
          </w:p>
          <w:p w:rsidR="009B7378" w:rsidRDefault="009B7378" w:rsidP="009B7378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Cross infrastructure and cross technology monitoring</w:t>
            </w:r>
          </w:p>
          <w:p w:rsidR="009B7378" w:rsidRDefault="009B7378" w:rsidP="009B7378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Active status reporting of key metrics</w:t>
            </w:r>
          </w:p>
          <w:p w:rsidR="009B7378" w:rsidRDefault="009B7378" w:rsidP="009B7378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Historic data for  analysis and trending</w:t>
            </w:r>
          </w:p>
          <w:p w:rsidR="009B7378" w:rsidRDefault="009B7378" w:rsidP="009B7378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Dashboard facility to provide information by service or technology components</w:t>
            </w:r>
          </w:p>
          <w:p w:rsidR="009B7378" w:rsidRPr="009B7378" w:rsidRDefault="009B7378" w:rsidP="009B7378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Notification in case defined metrics are reached</w:t>
            </w:r>
          </w:p>
        </w:tc>
      </w:tr>
      <w:tr w:rsidR="0097066C" w:rsidRPr="00097D93" w:rsidTr="000C3623">
        <w:tc>
          <w:tcPr>
            <w:tcW w:w="2093" w:type="dxa"/>
            <w:shd w:val="clear" w:color="auto" w:fill="D9D9D9" w:themeFill="background1" w:themeFillShade="D9"/>
          </w:tcPr>
          <w:p w:rsidR="005D0AFD" w:rsidRDefault="0097066C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it is needed</w:t>
            </w:r>
            <w:r w:rsidR="001B4393">
              <w:rPr>
                <w:sz w:val="24"/>
                <w:szCs w:val="24"/>
              </w:rPr>
              <w:t xml:space="preserve"> / what the benefits are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8505" w:type="dxa"/>
            <w:gridSpan w:val="4"/>
          </w:tcPr>
          <w:p w:rsidR="008934FB" w:rsidRPr="001654E8" w:rsidRDefault="00E764BB" w:rsidP="00DA1186">
            <w:pPr>
              <w:rPr>
                <w:i/>
              </w:rPr>
            </w:pPr>
            <w:r w:rsidRPr="001654E8">
              <w:rPr>
                <w:i/>
              </w:rPr>
              <w:t xml:space="preserve">IS Applications </w:t>
            </w:r>
            <w:proofErr w:type="gramStart"/>
            <w:r w:rsidRPr="001654E8">
              <w:rPr>
                <w:i/>
              </w:rPr>
              <w:t>manage</w:t>
            </w:r>
            <w:proofErr w:type="gramEnd"/>
            <w:r w:rsidRPr="001654E8">
              <w:rPr>
                <w:i/>
              </w:rPr>
              <w:t xml:space="preserve"> a large number of University priority services with 24x365 uptime 99.9% availability</w:t>
            </w:r>
            <w:r w:rsidR="008934FB" w:rsidRPr="001654E8">
              <w:rPr>
                <w:i/>
              </w:rPr>
              <w:t xml:space="preserve"> expectations</w:t>
            </w:r>
            <w:r w:rsidRPr="001654E8">
              <w:rPr>
                <w:i/>
              </w:rPr>
              <w:t xml:space="preserve">. </w:t>
            </w:r>
            <w:r w:rsidR="00EE436C" w:rsidRPr="001654E8">
              <w:rPr>
                <w:i/>
              </w:rPr>
              <w:t>Over the last ten</w:t>
            </w:r>
            <w:r w:rsidR="008C280D" w:rsidRPr="001654E8">
              <w:rPr>
                <w:i/>
              </w:rPr>
              <w:t xml:space="preserve"> years the</w:t>
            </w:r>
            <w:r w:rsidR="008934FB" w:rsidRPr="001654E8">
              <w:rPr>
                <w:i/>
              </w:rPr>
              <w:t xml:space="preserve"> number </w:t>
            </w:r>
            <w:r w:rsidR="008C280D" w:rsidRPr="001654E8">
              <w:rPr>
                <w:i/>
              </w:rPr>
              <w:t>of infrastructure components</w:t>
            </w:r>
            <w:r w:rsidR="008934FB" w:rsidRPr="001654E8">
              <w:rPr>
                <w:i/>
              </w:rPr>
              <w:t xml:space="preserve"> providing these </w:t>
            </w:r>
            <w:proofErr w:type="gramStart"/>
            <w:r w:rsidR="008934FB" w:rsidRPr="001654E8">
              <w:rPr>
                <w:i/>
              </w:rPr>
              <w:t>priority  services</w:t>
            </w:r>
            <w:proofErr w:type="gramEnd"/>
            <w:r w:rsidR="008934FB" w:rsidRPr="001654E8">
              <w:rPr>
                <w:i/>
              </w:rPr>
              <w:t xml:space="preserve"> </w:t>
            </w:r>
            <w:r w:rsidR="008C280D" w:rsidRPr="001654E8">
              <w:rPr>
                <w:i/>
              </w:rPr>
              <w:t xml:space="preserve"> has grown to a level where manual checks are no longer </w:t>
            </w:r>
            <w:r w:rsidR="008934FB" w:rsidRPr="001654E8">
              <w:rPr>
                <w:i/>
              </w:rPr>
              <w:t>feasible</w:t>
            </w:r>
            <w:r w:rsidR="00FD2934" w:rsidRPr="001654E8">
              <w:rPr>
                <w:i/>
              </w:rPr>
              <w:t>. In addition the number of non-</w:t>
            </w:r>
            <w:r w:rsidR="008934FB" w:rsidRPr="001654E8">
              <w:rPr>
                <w:i/>
              </w:rPr>
              <w:t xml:space="preserve">priority services has grown </w:t>
            </w:r>
            <w:r w:rsidR="004746BC" w:rsidRPr="001654E8">
              <w:rPr>
                <w:i/>
              </w:rPr>
              <w:t>over the same period.</w:t>
            </w:r>
          </w:p>
          <w:p w:rsidR="004746BC" w:rsidRPr="001654E8" w:rsidRDefault="004746BC" w:rsidP="00DA1186">
            <w:pPr>
              <w:rPr>
                <w:i/>
              </w:rPr>
            </w:pPr>
          </w:p>
          <w:p w:rsidR="004746BC" w:rsidRPr="001654E8" w:rsidRDefault="004746BC" w:rsidP="00DA1186">
            <w:pPr>
              <w:rPr>
                <w:i/>
              </w:rPr>
            </w:pPr>
            <w:r w:rsidRPr="001654E8">
              <w:rPr>
                <w:i/>
              </w:rPr>
              <w:t>Not having a consistent or no automated monitoring in place</w:t>
            </w:r>
            <w:r w:rsidR="00FD2934" w:rsidRPr="001654E8">
              <w:rPr>
                <w:i/>
              </w:rPr>
              <w:t xml:space="preserve">s strain </w:t>
            </w:r>
            <w:proofErr w:type="gramStart"/>
            <w:r w:rsidR="00FD2934" w:rsidRPr="001654E8">
              <w:rPr>
                <w:i/>
              </w:rPr>
              <w:t>on  resources</w:t>
            </w:r>
            <w:proofErr w:type="gramEnd"/>
            <w:r w:rsidR="00FD2934" w:rsidRPr="001654E8">
              <w:rPr>
                <w:i/>
              </w:rPr>
              <w:t xml:space="preserve"> as manual work is required as well as puts services at risk. </w:t>
            </w:r>
            <w:r w:rsidR="00AB07A5" w:rsidRPr="001654E8">
              <w:rPr>
                <w:i/>
              </w:rPr>
              <w:t xml:space="preserve">In addition there is very limited historic and statistical information available required to successfully </w:t>
            </w:r>
            <w:proofErr w:type="gramStart"/>
            <w:r w:rsidR="00AB07A5" w:rsidRPr="001654E8">
              <w:rPr>
                <w:i/>
              </w:rPr>
              <w:t>manage</w:t>
            </w:r>
            <w:proofErr w:type="gramEnd"/>
            <w:r w:rsidR="00AB07A5" w:rsidRPr="001654E8">
              <w:rPr>
                <w:i/>
              </w:rPr>
              <w:t xml:space="preserve"> services especially regarding capacity planning.</w:t>
            </w:r>
          </w:p>
          <w:p w:rsidR="004746BC" w:rsidRPr="001654E8" w:rsidRDefault="004746BC" w:rsidP="00DA1186">
            <w:pPr>
              <w:rPr>
                <w:i/>
              </w:rPr>
            </w:pPr>
          </w:p>
          <w:p w:rsidR="00BE3EFE" w:rsidRPr="001654E8" w:rsidRDefault="00EE436C" w:rsidP="00AF024C">
            <w:pPr>
              <w:rPr>
                <w:i/>
              </w:rPr>
            </w:pPr>
            <w:r w:rsidRPr="001654E8">
              <w:rPr>
                <w:i/>
              </w:rPr>
              <w:t xml:space="preserve">Some level of automation and </w:t>
            </w:r>
            <w:proofErr w:type="gramStart"/>
            <w:r w:rsidRPr="001654E8">
              <w:rPr>
                <w:i/>
              </w:rPr>
              <w:t>monitoring  has</w:t>
            </w:r>
            <w:proofErr w:type="gramEnd"/>
            <w:r w:rsidRPr="001654E8">
              <w:rPr>
                <w:i/>
              </w:rPr>
              <w:t xml:space="preserve"> been </w:t>
            </w:r>
            <w:r w:rsidR="004D3822" w:rsidRPr="001654E8">
              <w:rPr>
                <w:i/>
              </w:rPr>
              <w:t>implemented, but not consistently</w:t>
            </w:r>
            <w:r w:rsidR="00AF024C" w:rsidRPr="001654E8">
              <w:rPr>
                <w:i/>
              </w:rPr>
              <w:t xml:space="preserve"> both in term of coverage of services and depth of actual monitoring.</w:t>
            </w:r>
          </w:p>
        </w:tc>
      </w:tr>
      <w:tr w:rsidR="00DE0845" w:rsidRPr="00097D93" w:rsidTr="000C3623">
        <w:tc>
          <w:tcPr>
            <w:tcW w:w="2093" w:type="dxa"/>
            <w:shd w:val="clear" w:color="auto" w:fill="D9D9D9" w:themeFill="background1" w:themeFillShade="D9"/>
          </w:tcPr>
          <w:p w:rsidR="00DE0845" w:rsidRDefault="00DE0845" w:rsidP="0097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is it needed</w:t>
            </w:r>
          </w:p>
        </w:tc>
        <w:tc>
          <w:tcPr>
            <w:tcW w:w="8505" w:type="dxa"/>
            <w:gridSpan w:val="4"/>
          </w:tcPr>
          <w:p w:rsidR="00DE0845" w:rsidRDefault="005976C3" w:rsidP="00C26119">
            <w:pPr>
              <w:rPr>
                <w:i/>
              </w:rPr>
            </w:pPr>
            <w:r>
              <w:rPr>
                <w:i/>
              </w:rPr>
              <w:t>Start Year: 201</w:t>
            </w:r>
            <w:r w:rsidR="000319A1">
              <w:rPr>
                <w:i/>
              </w:rPr>
              <w:t>4/15</w:t>
            </w:r>
          </w:p>
          <w:p w:rsidR="00DE0845" w:rsidRPr="00044CE5" w:rsidRDefault="00DE0845" w:rsidP="000319A1">
            <w:pPr>
              <w:rPr>
                <w:i/>
              </w:rPr>
            </w:pPr>
            <w:r>
              <w:rPr>
                <w:i/>
              </w:rPr>
              <w:t xml:space="preserve">Duration (No. of Years): </w:t>
            </w:r>
            <w:r w:rsidR="005976C3">
              <w:rPr>
                <w:i/>
              </w:rPr>
              <w:t>2</w:t>
            </w:r>
          </w:p>
        </w:tc>
      </w:tr>
      <w:tr w:rsidR="002045FB" w:rsidRPr="00097D93" w:rsidTr="004E5ABA">
        <w:tc>
          <w:tcPr>
            <w:tcW w:w="2093" w:type="dxa"/>
            <w:shd w:val="clear" w:color="auto" w:fill="D9D9D9" w:themeFill="background1" w:themeFillShade="D9"/>
          </w:tcPr>
          <w:p w:rsidR="002045FB" w:rsidRDefault="002045FB" w:rsidP="004E5ABA">
            <w:pPr>
              <w:rPr>
                <w:sz w:val="24"/>
                <w:szCs w:val="24"/>
              </w:rPr>
            </w:pPr>
            <w:r w:rsidRPr="00BB165D">
              <w:rPr>
                <w:sz w:val="24"/>
                <w:szCs w:val="24"/>
              </w:rPr>
              <w:t>Type of work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045FB" w:rsidRPr="008B5CEE" w:rsidRDefault="002045FB" w:rsidP="004E5ABA">
            <w:pPr>
              <w:rPr>
                <w:i/>
              </w:rPr>
            </w:pPr>
            <w:r w:rsidRPr="00BB165D">
              <w:rPr>
                <w:i/>
              </w:rPr>
              <w:t>Compliance</w:t>
            </w:r>
            <w:r>
              <w:rPr>
                <w:i/>
              </w:rPr>
              <w:t>*</w:t>
            </w:r>
            <w:r w:rsidRPr="00BB165D">
              <w:rPr>
                <w:i/>
              </w:rPr>
              <w:t xml:space="preserve">  / Discretionary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045FB" w:rsidRPr="005D0AFD" w:rsidRDefault="002045FB" w:rsidP="004E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Source</w:t>
            </w:r>
          </w:p>
        </w:tc>
        <w:tc>
          <w:tcPr>
            <w:tcW w:w="3686" w:type="dxa"/>
            <w:gridSpan w:val="2"/>
          </w:tcPr>
          <w:p w:rsidR="002045FB" w:rsidRPr="008B5CEE" w:rsidRDefault="002045FB" w:rsidP="004E5ABA">
            <w:pPr>
              <w:rPr>
                <w:i/>
              </w:rPr>
            </w:pPr>
            <w:r w:rsidRPr="00BB165D">
              <w:rPr>
                <w:i/>
              </w:rPr>
              <w:t>Core Grant / Sponsor Funded</w:t>
            </w:r>
          </w:p>
        </w:tc>
      </w:tr>
      <w:tr w:rsidR="002045FB" w:rsidRPr="00097D93" w:rsidTr="002045FB">
        <w:tc>
          <w:tcPr>
            <w:tcW w:w="2093" w:type="dxa"/>
            <w:shd w:val="clear" w:color="auto" w:fill="D9D9D9" w:themeFill="background1" w:themeFillShade="D9"/>
          </w:tcPr>
          <w:p w:rsidR="002045FB" w:rsidRDefault="002045FB" w:rsidP="004E5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*Compliance Justification </w:t>
            </w:r>
          </w:p>
        </w:tc>
        <w:tc>
          <w:tcPr>
            <w:tcW w:w="2977" w:type="dxa"/>
          </w:tcPr>
          <w:p w:rsidR="002045FB" w:rsidRPr="001654E8" w:rsidRDefault="004E6CD6" w:rsidP="004E5ABA">
            <w:pPr>
              <w:rPr>
                <w:i/>
                <w:color w:val="FF0000"/>
              </w:rPr>
            </w:pPr>
            <w:r w:rsidRPr="001654E8">
              <w:rPr>
                <w:i/>
                <w:color w:val="FF0000"/>
              </w:rPr>
              <w:t>Could this be compli</w:t>
            </w:r>
            <w:r w:rsidR="000319A1">
              <w:rPr>
                <w:i/>
                <w:color w:val="FF0000"/>
              </w:rPr>
              <w:t>a</w:t>
            </w:r>
            <w:r w:rsidRPr="001654E8">
              <w:rPr>
                <w:i/>
                <w:color w:val="FF0000"/>
              </w:rPr>
              <w:t>nt? As we need to replace or review existing monitoring such as Spotlight?</w:t>
            </w:r>
          </w:p>
          <w:p w:rsidR="00BE3EFE" w:rsidRPr="001654E8" w:rsidRDefault="00BE3EFE" w:rsidP="004E5ABA">
            <w:pPr>
              <w:rPr>
                <w:i/>
              </w:rPr>
            </w:pPr>
          </w:p>
          <w:p w:rsidR="00BE3EFE" w:rsidRPr="001654E8" w:rsidRDefault="00BE3EFE" w:rsidP="004E5ABA">
            <w:pPr>
              <w:rPr>
                <w:i/>
              </w:rPr>
            </w:pPr>
          </w:p>
          <w:p w:rsidR="00BE3EFE" w:rsidRPr="001654E8" w:rsidRDefault="00BE3EFE" w:rsidP="004E5ABA">
            <w:pPr>
              <w:rPr>
                <w:i/>
              </w:rPr>
            </w:pPr>
          </w:p>
          <w:p w:rsidR="00BE3EFE" w:rsidRPr="001654E8" w:rsidRDefault="00BE3EFE" w:rsidP="004E5ABA">
            <w:pPr>
              <w:rPr>
                <w:i/>
              </w:rPr>
            </w:pPr>
          </w:p>
          <w:p w:rsidR="00BE3EFE" w:rsidRPr="001654E8" w:rsidRDefault="00BE3EFE" w:rsidP="004E5ABA">
            <w:pPr>
              <w:rPr>
                <w:i/>
              </w:rPr>
            </w:pPr>
          </w:p>
          <w:p w:rsidR="00BE3EFE" w:rsidRPr="001654E8" w:rsidRDefault="00BE3EFE" w:rsidP="004E5ABA">
            <w:pPr>
              <w:rPr>
                <w:i/>
              </w:rPr>
            </w:pPr>
          </w:p>
          <w:p w:rsidR="00BE3EFE" w:rsidRPr="001654E8" w:rsidRDefault="00BE3EFE" w:rsidP="004E5ABA">
            <w:pPr>
              <w:rPr>
                <w:i/>
              </w:rPr>
            </w:pPr>
          </w:p>
          <w:p w:rsidR="00BE3EFE" w:rsidRPr="001654E8" w:rsidRDefault="00BE3EFE" w:rsidP="004E5ABA">
            <w:pPr>
              <w:rPr>
                <w:i/>
              </w:rPr>
            </w:pPr>
          </w:p>
          <w:p w:rsidR="00BE3EFE" w:rsidRPr="001654E8" w:rsidRDefault="00BE3EFE" w:rsidP="004E5ABA">
            <w:pPr>
              <w:rPr>
                <w:i/>
              </w:rPr>
            </w:pPr>
          </w:p>
          <w:p w:rsidR="00BE3EFE" w:rsidRPr="001654E8" w:rsidRDefault="00BE3EFE" w:rsidP="004E5ABA">
            <w:pPr>
              <w:rPr>
                <w:i/>
              </w:rPr>
            </w:pPr>
          </w:p>
          <w:p w:rsidR="00BE3EFE" w:rsidRPr="001654E8" w:rsidRDefault="00BE3EFE" w:rsidP="004E5ABA">
            <w:pPr>
              <w:rPr>
                <w:i/>
              </w:rPr>
            </w:pPr>
          </w:p>
        </w:tc>
        <w:tc>
          <w:tcPr>
            <w:tcW w:w="1842" w:type="dxa"/>
          </w:tcPr>
          <w:p w:rsidR="002045FB" w:rsidRDefault="002045FB" w:rsidP="00204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Proposal Type</w:t>
            </w:r>
          </w:p>
          <w:p w:rsidR="002045FB" w:rsidRPr="008B5CEE" w:rsidRDefault="002045FB" w:rsidP="004E5ABA">
            <w:pPr>
              <w:rPr>
                <w:i/>
              </w:rPr>
            </w:pPr>
          </w:p>
        </w:tc>
        <w:tc>
          <w:tcPr>
            <w:tcW w:w="3686" w:type="dxa"/>
            <w:gridSpan w:val="2"/>
          </w:tcPr>
          <w:p w:rsidR="002045FB" w:rsidRPr="008B5CEE" w:rsidRDefault="002045FB" w:rsidP="00834856">
            <w:pPr>
              <w:rPr>
                <w:i/>
              </w:rPr>
            </w:pPr>
            <w:r>
              <w:rPr>
                <w:i/>
              </w:rPr>
              <w:t xml:space="preserve">New </w:t>
            </w:r>
          </w:p>
        </w:tc>
      </w:tr>
    </w:tbl>
    <w:p w:rsidR="002045FB" w:rsidRDefault="002045FB"/>
    <w:p w:rsidR="00BE3EFE" w:rsidRDefault="00BE3EF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045FB" w:rsidRPr="009F3B26" w:rsidRDefault="002045FB" w:rsidP="002045FB">
      <w:pPr>
        <w:pStyle w:val="Heading2"/>
      </w:pPr>
      <w:r>
        <w:t>Estimation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1059"/>
        <w:gridCol w:w="3388"/>
        <w:gridCol w:w="4300"/>
      </w:tblGrid>
      <w:tr w:rsidR="002045FB" w:rsidRPr="00097D93" w:rsidTr="00BE3EFE">
        <w:trPr>
          <w:trHeight w:val="597"/>
        </w:trPr>
        <w:tc>
          <w:tcPr>
            <w:tcW w:w="1935" w:type="dxa"/>
            <w:shd w:val="clear" w:color="auto" w:fill="D9D9D9" w:themeFill="background1" w:themeFillShade="D9"/>
          </w:tcPr>
          <w:p w:rsidR="002045FB" w:rsidRDefault="004E6CD6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Estimation Type</w:t>
            </w:r>
          </w:p>
        </w:tc>
        <w:tc>
          <w:tcPr>
            <w:tcW w:w="4447" w:type="dxa"/>
            <w:gridSpan w:val="2"/>
          </w:tcPr>
          <w:p w:rsidR="002045FB" w:rsidRPr="008B5CEE" w:rsidRDefault="00392744" w:rsidP="00392744">
            <w:pPr>
              <w:rPr>
                <w:i/>
              </w:rPr>
            </w:pPr>
            <w:r>
              <w:rPr>
                <w:i/>
              </w:rPr>
              <w:t>Procurement</w:t>
            </w:r>
            <w:r w:rsidR="002045FB">
              <w:rPr>
                <w:i/>
              </w:rPr>
              <w:t xml:space="preserve"> </w:t>
            </w:r>
          </w:p>
        </w:tc>
        <w:tc>
          <w:tcPr>
            <w:tcW w:w="4300" w:type="dxa"/>
          </w:tcPr>
          <w:p w:rsidR="002045FB" w:rsidRPr="008B5CEE" w:rsidRDefault="002045FB" w:rsidP="00044CE5">
            <w:pPr>
              <w:rPr>
                <w:i/>
              </w:rPr>
            </w:pPr>
          </w:p>
        </w:tc>
      </w:tr>
      <w:tr w:rsidR="000D528D" w:rsidRPr="00097D93" w:rsidTr="00BE3EFE">
        <w:tc>
          <w:tcPr>
            <w:tcW w:w="1935" w:type="dxa"/>
            <w:shd w:val="clear" w:color="auto" w:fill="D9D9D9" w:themeFill="background1" w:themeFillShade="D9"/>
          </w:tcPr>
          <w:p w:rsidR="000D528D" w:rsidRPr="009F3B26" w:rsidRDefault="000D528D" w:rsidP="00C26119">
            <w:r>
              <w:t>Estimated IS Apps Days</w:t>
            </w:r>
            <w:r w:rsidR="00044CE5">
              <w:t xml:space="preserve"> </w:t>
            </w:r>
            <w:r w:rsidR="00044CE5">
              <w:br/>
              <w:t>(see additional guidance*)</w:t>
            </w:r>
          </w:p>
        </w:tc>
        <w:tc>
          <w:tcPr>
            <w:tcW w:w="1059" w:type="dxa"/>
          </w:tcPr>
          <w:p w:rsidR="000D528D" w:rsidRDefault="000319A1" w:rsidP="003535B4">
            <w:pPr>
              <w:rPr>
                <w:i/>
              </w:rPr>
            </w:pPr>
            <w:r>
              <w:rPr>
                <w:i/>
              </w:rPr>
              <w:t>L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:rsidR="000D528D" w:rsidRDefault="000D528D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Business Partner Days</w:t>
            </w:r>
          </w:p>
        </w:tc>
        <w:tc>
          <w:tcPr>
            <w:tcW w:w="4300" w:type="dxa"/>
          </w:tcPr>
          <w:p w:rsidR="000D528D" w:rsidRDefault="003535B4" w:rsidP="00C26119">
            <w:pPr>
              <w:rPr>
                <w:i/>
              </w:rPr>
            </w:pPr>
            <w:r>
              <w:rPr>
                <w:i/>
              </w:rPr>
              <w:t>N/A (no partner involvement required as internal IS Apps)</w:t>
            </w:r>
          </w:p>
        </w:tc>
      </w:tr>
      <w:tr w:rsidR="00DE0845" w:rsidRPr="00097D93" w:rsidTr="00BE3EFE">
        <w:tc>
          <w:tcPr>
            <w:tcW w:w="1935" w:type="dxa"/>
            <w:shd w:val="clear" w:color="auto" w:fill="D9D9D9" w:themeFill="background1" w:themeFillShade="D9"/>
          </w:tcPr>
          <w:p w:rsidR="00DE0845" w:rsidRDefault="00C82AE0" w:rsidP="00C26119">
            <w:r w:rsidRPr="00C82AE0">
              <w:t>Estimated Service Management Days</w:t>
            </w:r>
          </w:p>
        </w:tc>
        <w:tc>
          <w:tcPr>
            <w:tcW w:w="1059" w:type="dxa"/>
          </w:tcPr>
          <w:p w:rsidR="00DE0845" w:rsidRDefault="003535B4" w:rsidP="00C26119">
            <w:pPr>
              <w:rPr>
                <w:i/>
              </w:rPr>
            </w:pPr>
            <w:r>
              <w:rPr>
                <w:i/>
              </w:rPr>
              <w:t>N/A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:rsidR="00DE0845" w:rsidRDefault="00C82AE0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on other Service area</w:t>
            </w:r>
          </w:p>
        </w:tc>
        <w:tc>
          <w:tcPr>
            <w:tcW w:w="4300" w:type="dxa"/>
          </w:tcPr>
          <w:p w:rsidR="00DE0845" w:rsidRDefault="003535B4" w:rsidP="00C26119">
            <w:pPr>
              <w:rPr>
                <w:i/>
              </w:rPr>
            </w:pPr>
            <w:r>
              <w:rPr>
                <w:i/>
              </w:rPr>
              <w:t>N/A</w:t>
            </w:r>
          </w:p>
          <w:p w:rsidR="000C3623" w:rsidRDefault="000C3623" w:rsidP="00C26119">
            <w:pPr>
              <w:rPr>
                <w:i/>
              </w:rPr>
            </w:pPr>
          </w:p>
        </w:tc>
      </w:tr>
      <w:tr w:rsidR="00731723" w:rsidRPr="00097D93" w:rsidTr="00BE3EFE">
        <w:tc>
          <w:tcPr>
            <w:tcW w:w="1935" w:type="dxa"/>
            <w:shd w:val="clear" w:color="auto" w:fill="D9D9D9" w:themeFill="background1" w:themeFillShade="D9"/>
          </w:tcPr>
          <w:p w:rsidR="00731723" w:rsidRDefault="00731723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Estimation Confidence </w:t>
            </w:r>
            <w:r w:rsidR="00792EF2">
              <w:rPr>
                <w:i/>
              </w:rPr>
              <w:t>(delete as required)</w:t>
            </w:r>
          </w:p>
        </w:tc>
        <w:tc>
          <w:tcPr>
            <w:tcW w:w="8747" w:type="dxa"/>
            <w:gridSpan w:val="3"/>
          </w:tcPr>
          <w:p w:rsidR="00731723" w:rsidRDefault="00731723" w:rsidP="00017484">
            <w:pPr>
              <w:rPr>
                <w:i/>
              </w:rPr>
            </w:pPr>
            <w:r>
              <w:rPr>
                <w:i/>
              </w:rPr>
              <w:t>Reasonably Confident (Similar to previous work)</w:t>
            </w:r>
          </w:p>
        </w:tc>
      </w:tr>
      <w:tr w:rsidR="009F3B26" w:rsidRPr="00097D93" w:rsidTr="00BE3EFE">
        <w:tc>
          <w:tcPr>
            <w:tcW w:w="1935" w:type="dxa"/>
            <w:shd w:val="clear" w:color="auto" w:fill="D9D9D9" w:themeFill="background1" w:themeFillShade="D9"/>
          </w:tcPr>
          <w:p w:rsidR="009F3B26" w:rsidRDefault="000D528D" w:rsidP="00C26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Estimation References</w:t>
            </w:r>
          </w:p>
        </w:tc>
        <w:tc>
          <w:tcPr>
            <w:tcW w:w="8747" w:type="dxa"/>
            <w:gridSpan w:val="3"/>
          </w:tcPr>
          <w:p w:rsidR="009F3B26" w:rsidRDefault="000D528D" w:rsidP="00C26119">
            <w:pPr>
              <w:rPr>
                <w:i/>
              </w:rPr>
            </w:pPr>
            <w:r>
              <w:rPr>
                <w:i/>
              </w:rPr>
              <w:t>Justification for the Estimat</w:t>
            </w:r>
            <w:r w:rsidR="00731723">
              <w:rPr>
                <w:i/>
              </w:rPr>
              <w:t xml:space="preserve">ed Days and Estimation Confidence. This section is </w:t>
            </w:r>
            <w:r w:rsidR="00B4303F">
              <w:rPr>
                <w:i/>
              </w:rPr>
              <w:t xml:space="preserve">also </w:t>
            </w:r>
            <w:r w:rsidR="00731723">
              <w:rPr>
                <w:i/>
              </w:rPr>
              <w:t xml:space="preserve">used to provide </w:t>
            </w:r>
            <w:r>
              <w:rPr>
                <w:i/>
              </w:rPr>
              <w:t xml:space="preserve">any other </w:t>
            </w:r>
            <w:r w:rsidR="00731723">
              <w:rPr>
                <w:i/>
              </w:rPr>
              <w:t xml:space="preserve">relevant </w:t>
            </w:r>
            <w:r>
              <w:rPr>
                <w:i/>
              </w:rPr>
              <w:t>information the</w:t>
            </w:r>
            <w:r w:rsidR="00731723">
              <w:rPr>
                <w:i/>
              </w:rPr>
              <w:t xml:space="preserve"> proposal</w:t>
            </w:r>
            <w:r w:rsidR="00144C94">
              <w:rPr>
                <w:i/>
              </w:rPr>
              <w:t xml:space="preserve"> </w:t>
            </w:r>
            <w:r>
              <w:rPr>
                <w:i/>
              </w:rPr>
              <w:t>estimate</w:t>
            </w:r>
            <w:r w:rsidR="00B4303F">
              <w:rPr>
                <w:i/>
              </w:rPr>
              <w:t>.</w:t>
            </w:r>
            <w:r>
              <w:rPr>
                <w:i/>
              </w:rPr>
              <w:t xml:space="preserve"> Th</w:t>
            </w:r>
            <w:r w:rsidR="00731723">
              <w:rPr>
                <w:i/>
              </w:rPr>
              <w:t>i</w:t>
            </w:r>
            <w:r>
              <w:rPr>
                <w:i/>
              </w:rPr>
              <w:t>s may include:</w:t>
            </w:r>
          </w:p>
          <w:p w:rsidR="00731723" w:rsidRPr="00792EF2" w:rsidRDefault="00731723" w:rsidP="00792EF2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Assumptions about the project approach, scope or deliverables</w:t>
            </w:r>
          </w:p>
          <w:p w:rsidR="000D528D" w:rsidRDefault="00731723" w:rsidP="000D528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Details of p</w:t>
            </w:r>
            <w:r w:rsidR="000D528D">
              <w:rPr>
                <w:i/>
              </w:rPr>
              <w:t>revious similar projects</w:t>
            </w:r>
          </w:p>
          <w:p w:rsidR="000D528D" w:rsidRDefault="009C27AB" w:rsidP="000D528D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Risks or other unknown elements </w:t>
            </w:r>
          </w:p>
          <w:p w:rsidR="009C27AB" w:rsidRPr="009C27AB" w:rsidRDefault="009C27AB" w:rsidP="009C27AB">
            <w:pPr>
              <w:rPr>
                <w:i/>
              </w:rPr>
            </w:pPr>
            <w:r>
              <w:rPr>
                <w:i/>
              </w:rPr>
              <w:t>Record as many details as are relevant</w:t>
            </w:r>
          </w:p>
        </w:tc>
      </w:tr>
    </w:tbl>
    <w:p w:rsidR="008B5CEE" w:rsidRDefault="008B5CEE"/>
    <w:p w:rsidR="0005231F" w:rsidRPr="00C63351" w:rsidRDefault="001B4393" w:rsidP="000D528D">
      <w:pPr>
        <w:rPr>
          <w:rFonts w:asciiTheme="majorHAnsi" w:hAnsiTheme="majorHAnsi"/>
          <w:b/>
          <w:color w:val="0070C0"/>
          <w:sz w:val="26"/>
          <w:szCs w:val="26"/>
        </w:rPr>
      </w:pPr>
      <w:r w:rsidRPr="00C63351">
        <w:rPr>
          <w:rFonts w:asciiTheme="majorHAnsi" w:hAnsiTheme="majorHAnsi"/>
          <w:b/>
          <w:color w:val="0070C0"/>
          <w:sz w:val="26"/>
          <w:szCs w:val="26"/>
        </w:rPr>
        <w:t>*</w:t>
      </w:r>
      <w:r w:rsidR="0005231F" w:rsidRPr="00C63351">
        <w:rPr>
          <w:rFonts w:asciiTheme="majorHAnsi" w:hAnsiTheme="majorHAnsi"/>
          <w:b/>
          <w:color w:val="0070C0"/>
          <w:sz w:val="26"/>
          <w:szCs w:val="26"/>
        </w:rPr>
        <w:t>Estimation</w:t>
      </w:r>
      <w:r w:rsidR="0076682F" w:rsidRPr="00C63351">
        <w:rPr>
          <w:rFonts w:asciiTheme="majorHAnsi" w:hAnsiTheme="majorHAnsi"/>
          <w:b/>
          <w:color w:val="0070C0"/>
          <w:sz w:val="26"/>
          <w:szCs w:val="26"/>
        </w:rPr>
        <w:t xml:space="preserve"> – Additional Guidance</w:t>
      </w:r>
      <w:r w:rsidR="0005231F" w:rsidRPr="00C63351">
        <w:rPr>
          <w:rFonts w:asciiTheme="majorHAnsi" w:hAnsiTheme="majorHAnsi"/>
          <w:b/>
          <w:color w:val="0070C0"/>
          <w:sz w:val="26"/>
          <w:szCs w:val="26"/>
        </w:rPr>
        <w:t>:</w:t>
      </w:r>
    </w:p>
    <w:p w:rsidR="001B4393" w:rsidRPr="00096F08" w:rsidRDefault="001B4393" w:rsidP="00096F08">
      <w:pPr>
        <w:rPr>
          <w:sz w:val="24"/>
          <w:szCs w:val="24"/>
        </w:rPr>
      </w:pPr>
      <w:r w:rsidRPr="00096F08">
        <w:rPr>
          <w:sz w:val="24"/>
          <w:szCs w:val="24"/>
        </w:rPr>
        <w:t>For 1</w:t>
      </w:r>
      <w:r w:rsidRPr="00096F08">
        <w:rPr>
          <w:sz w:val="24"/>
          <w:szCs w:val="24"/>
          <w:vertAlign w:val="superscript"/>
        </w:rPr>
        <w:t>st</w:t>
      </w:r>
      <w:r w:rsidRPr="00096F08">
        <w:rPr>
          <w:sz w:val="24"/>
          <w:szCs w:val="24"/>
        </w:rPr>
        <w:t xml:space="preserve"> stage/iteration of Red Line, the following</w:t>
      </w:r>
      <w:r w:rsidR="00C63351">
        <w:rPr>
          <w:sz w:val="24"/>
          <w:szCs w:val="24"/>
        </w:rPr>
        <w:t xml:space="preserve"> standard estimation categorisations will be used</w:t>
      </w:r>
      <w:r w:rsidRPr="00096F08">
        <w:rPr>
          <w:sz w:val="24"/>
          <w:szCs w:val="24"/>
        </w:rPr>
        <w:t xml:space="preserve">, </w:t>
      </w:r>
    </w:p>
    <w:p w:rsidR="001B4393" w:rsidRPr="00096F08" w:rsidRDefault="001B4393" w:rsidP="00096F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6F08">
        <w:rPr>
          <w:sz w:val="24"/>
          <w:szCs w:val="24"/>
        </w:rPr>
        <w:t>Small – 50 days</w:t>
      </w:r>
    </w:p>
    <w:p w:rsidR="001B4393" w:rsidRPr="00096F08" w:rsidRDefault="001B4393" w:rsidP="00096F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6F08">
        <w:rPr>
          <w:sz w:val="24"/>
          <w:szCs w:val="24"/>
        </w:rPr>
        <w:t xml:space="preserve">Medium – 120 days </w:t>
      </w:r>
    </w:p>
    <w:p w:rsidR="001B4393" w:rsidRPr="00096F08" w:rsidRDefault="001B4393" w:rsidP="00096F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6F08">
        <w:rPr>
          <w:sz w:val="24"/>
          <w:szCs w:val="24"/>
        </w:rPr>
        <w:t xml:space="preserve">Large – 250 days </w:t>
      </w:r>
    </w:p>
    <w:p w:rsidR="000D528D" w:rsidRDefault="001B4393" w:rsidP="000D528D">
      <w:pPr>
        <w:pStyle w:val="ListParagraph"/>
        <w:numPr>
          <w:ilvl w:val="0"/>
          <w:numId w:val="3"/>
        </w:numPr>
      </w:pPr>
      <w:r w:rsidRPr="00BE3EFE">
        <w:rPr>
          <w:sz w:val="24"/>
          <w:szCs w:val="24"/>
        </w:rPr>
        <w:t xml:space="preserve">Extra Large – 500 days </w:t>
      </w:r>
      <w:r w:rsidR="000D528D">
        <w:tab/>
      </w:r>
      <w:r w:rsidR="000D528D">
        <w:tab/>
      </w:r>
      <w:r w:rsidR="000D528D">
        <w:tab/>
      </w:r>
      <w:r w:rsidR="000D528D">
        <w:tab/>
      </w:r>
      <w:r w:rsidR="000D528D">
        <w:tab/>
      </w:r>
    </w:p>
    <w:p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p w:rsidR="000D528D" w:rsidRDefault="000D528D" w:rsidP="000D528D">
      <w:r>
        <w:tab/>
      </w:r>
      <w:r>
        <w:tab/>
      </w:r>
      <w:r>
        <w:tab/>
      </w:r>
      <w:r>
        <w:tab/>
      </w:r>
      <w:r>
        <w:tab/>
      </w:r>
    </w:p>
    <w:sectPr w:rsidR="000D528D" w:rsidSect="00C82A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001"/>
    <w:multiLevelType w:val="hybridMultilevel"/>
    <w:tmpl w:val="80F47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890B9A"/>
    <w:multiLevelType w:val="hybridMultilevel"/>
    <w:tmpl w:val="66AC3886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AD8758C"/>
    <w:multiLevelType w:val="hybridMultilevel"/>
    <w:tmpl w:val="B2F29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64F84"/>
    <w:multiLevelType w:val="hybridMultilevel"/>
    <w:tmpl w:val="9AA88A1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EF151F3"/>
    <w:multiLevelType w:val="hybridMultilevel"/>
    <w:tmpl w:val="59B29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A6496B"/>
    <w:multiLevelType w:val="hybridMultilevel"/>
    <w:tmpl w:val="A8680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93"/>
    <w:rsid w:val="00017484"/>
    <w:rsid w:val="000319A1"/>
    <w:rsid w:val="00044CE5"/>
    <w:rsid w:val="0005231F"/>
    <w:rsid w:val="00096F08"/>
    <w:rsid w:val="00097D93"/>
    <w:rsid w:val="000A58CD"/>
    <w:rsid w:val="000C3623"/>
    <w:rsid w:val="000D528D"/>
    <w:rsid w:val="00144C94"/>
    <w:rsid w:val="001654E8"/>
    <w:rsid w:val="001B4393"/>
    <w:rsid w:val="001E0F7E"/>
    <w:rsid w:val="002045FB"/>
    <w:rsid w:val="00270B09"/>
    <w:rsid w:val="002F0A4F"/>
    <w:rsid w:val="003535B4"/>
    <w:rsid w:val="00392744"/>
    <w:rsid w:val="003C1C0C"/>
    <w:rsid w:val="004746BC"/>
    <w:rsid w:val="004D3822"/>
    <w:rsid w:val="004E6CD6"/>
    <w:rsid w:val="0054002A"/>
    <w:rsid w:val="005838E1"/>
    <w:rsid w:val="005976C3"/>
    <w:rsid w:val="005B0308"/>
    <w:rsid w:val="005D0AFD"/>
    <w:rsid w:val="005D0C86"/>
    <w:rsid w:val="00637826"/>
    <w:rsid w:val="006C5F92"/>
    <w:rsid w:val="007100CA"/>
    <w:rsid w:val="00731723"/>
    <w:rsid w:val="0076682F"/>
    <w:rsid w:val="00792EF2"/>
    <w:rsid w:val="007F6ACD"/>
    <w:rsid w:val="00834856"/>
    <w:rsid w:val="008934FB"/>
    <w:rsid w:val="008B5CEE"/>
    <w:rsid w:val="008C280D"/>
    <w:rsid w:val="008E4330"/>
    <w:rsid w:val="0096313E"/>
    <w:rsid w:val="0097066C"/>
    <w:rsid w:val="00973AD1"/>
    <w:rsid w:val="009B7378"/>
    <w:rsid w:val="009C04BA"/>
    <w:rsid w:val="009C27AB"/>
    <w:rsid w:val="009F3B26"/>
    <w:rsid w:val="00A11DD6"/>
    <w:rsid w:val="00A73856"/>
    <w:rsid w:val="00AB07A5"/>
    <w:rsid w:val="00AF024C"/>
    <w:rsid w:val="00B05E1F"/>
    <w:rsid w:val="00B4303F"/>
    <w:rsid w:val="00B47876"/>
    <w:rsid w:val="00BB165D"/>
    <w:rsid w:val="00BE3EFE"/>
    <w:rsid w:val="00C26119"/>
    <w:rsid w:val="00C60E21"/>
    <w:rsid w:val="00C63351"/>
    <w:rsid w:val="00C82AE0"/>
    <w:rsid w:val="00CC3574"/>
    <w:rsid w:val="00CF4FEA"/>
    <w:rsid w:val="00DA1186"/>
    <w:rsid w:val="00DB0320"/>
    <w:rsid w:val="00DE0845"/>
    <w:rsid w:val="00E16FBD"/>
    <w:rsid w:val="00E70574"/>
    <w:rsid w:val="00E764BB"/>
    <w:rsid w:val="00EE436C"/>
    <w:rsid w:val="00F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B5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5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6">
    <w:name w:val="style6"/>
    <w:basedOn w:val="DefaultParagraphFont"/>
    <w:rsid w:val="008B5CEE"/>
  </w:style>
  <w:style w:type="paragraph" w:customStyle="1" w:styleId="style61">
    <w:name w:val="style61"/>
    <w:basedOn w:val="Normal"/>
    <w:rsid w:val="008B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5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6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B5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5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6">
    <w:name w:val="style6"/>
    <w:basedOn w:val="DefaultParagraphFont"/>
    <w:rsid w:val="008B5CEE"/>
  </w:style>
  <w:style w:type="paragraph" w:customStyle="1" w:styleId="style61">
    <w:name w:val="style61"/>
    <w:basedOn w:val="Normal"/>
    <w:rsid w:val="008B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5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EDBD-1A0A-4972-B900-B01B7004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RITCHIE Mark</dc:creator>
  <cp:lastModifiedBy>FRANCESCHI Maurice</cp:lastModifiedBy>
  <cp:revision>8</cp:revision>
  <cp:lastPrinted>2013-11-14T13:51:00Z</cp:lastPrinted>
  <dcterms:created xsi:type="dcterms:W3CDTF">2013-11-21T12:38:00Z</dcterms:created>
  <dcterms:modified xsi:type="dcterms:W3CDTF">2013-11-28T10:00:00Z</dcterms:modified>
</cp:coreProperties>
</file>