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8EF" w:rsidRDefault="00967472">
      <w:pPr>
        <w:pStyle w:val="Heading"/>
        <w:jc w:val="center"/>
      </w:pPr>
      <w:r>
        <w:rPr>
          <w:rFonts w:ascii="Times New Roman"/>
        </w:rPr>
        <w:t>IS Applications 3-Year Planning 2015/16 to 2017/</w:t>
      </w:r>
      <w:proofErr w:type="gramStart"/>
      <w:r>
        <w:rPr>
          <w:rFonts w:ascii="Times New Roman"/>
        </w:rPr>
        <w:t>18</w:t>
      </w:r>
      <w:proofErr w:type="gramEnd"/>
    </w:p>
    <w:p w:rsidR="00D638EF" w:rsidRDefault="00967472">
      <w:pPr>
        <w:pStyle w:val="Heading2"/>
        <w:widowControl w:val="0"/>
      </w:pPr>
      <w:r>
        <w:rPr>
          <w:rFonts w:ascii="Times New Roman"/>
        </w:rPr>
        <w:t>Proposal Suggestion Template</w:t>
      </w:r>
      <w:r>
        <w:br/>
      </w:r>
      <w:r>
        <w:br/>
      </w:r>
      <w:r>
        <w:rPr>
          <w:rFonts w:ascii="Times New Roman"/>
        </w:rPr>
        <w:t>OVERVIEW</w:t>
      </w: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3298"/>
        <w:gridCol w:w="1977"/>
        <w:gridCol w:w="2858"/>
      </w:tblGrid>
      <w:tr w:rsidR="00D638EF">
        <w:trPr>
          <w:trHeight w:val="570"/>
        </w:trPr>
        <w:tc>
          <w:tcPr>
            <w:tcW w:w="23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pPr>
            <w:r>
              <w:rPr>
                <w:sz w:val="24"/>
                <w:szCs w:val="24"/>
              </w:rPr>
              <w:t>Portfolio</w:t>
            </w:r>
          </w:p>
        </w:tc>
        <w:tc>
          <w:tcPr>
            <w:tcW w:w="3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 xml:space="preserve">ISG </w:t>
            </w:r>
          </w:p>
        </w:tc>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proofErr w:type="spellStart"/>
            <w:r>
              <w:rPr>
                <w:sz w:val="24"/>
                <w:szCs w:val="24"/>
              </w:rPr>
              <w:t>Programme</w:t>
            </w:r>
            <w:proofErr w:type="spellEnd"/>
            <w:r>
              <w:rPr>
                <w:sz w:val="24"/>
                <w:szCs w:val="24"/>
              </w:rPr>
              <w:t xml:space="preserve"> Name</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Infrastructure</w:t>
            </w:r>
          </w:p>
        </w:tc>
      </w:tr>
      <w:tr w:rsidR="00D638EF">
        <w:trPr>
          <w:trHeight w:val="570"/>
        </w:trPr>
        <w:tc>
          <w:tcPr>
            <w:tcW w:w="23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rPr>
                <w:sz w:val="24"/>
                <w:szCs w:val="24"/>
              </w:rPr>
            </w:pPr>
            <w:r>
              <w:rPr>
                <w:sz w:val="24"/>
                <w:szCs w:val="24"/>
              </w:rPr>
              <w:t>Proposal Name</w:t>
            </w:r>
          </w:p>
        </w:tc>
        <w:tc>
          <w:tcPr>
            <w:tcW w:w="3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Service Resilience Capability</w:t>
            </w:r>
          </w:p>
        </w:tc>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Proposal Sponsor</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David Smyth</w:t>
            </w:r>
          </w:p>
        </w:tc>
      </w:tr>
      <w:tr w:rsidR="00D638EF">
        <w:trPr>
          <w:trHeight w:val="490"/>
        </w:trPr>
        <w:tc>
          <w:tcPr>
            <w:tcW w:w="23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Other Contributors</w:t>
            </w:r>
          </w:p>
        </w:tc>
        <w:tc>
          <w:tcPr>
            <w:tcW w:w="81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 xml:space="preserve">Heather </w:t>
            </w:r>
            <w:proofErr w:type="spellStart"/>
            <w:r>
              <w:t>Larnach</w:t>
            </w:r>
            <w:proofErr w:type="spellEnd"/>
            <w:r>
              <w:t xml:space="preserve">, Iain </w:t>
            </w:r>
            <w:proofErr w:type="spellStart"/>
            <w:r>
              <w:t>Fiddes</w:t>
            </w:r>
            <w:proofErr w:type="spellEnd"/>
          </w:p>
        </w:tc>
      </w:tr>
      <w:tr w:rsidR="00D638EF">
        <w:trPr>
          <w:trHeight w:val="828"/>
        </w:trPr>
        <w:tc>
          <w:tcPr>
            <w:tcW w:w="23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Need, problem, or opportunity?</w:t>
            </w:r>
          </w:p>
        </w:tc>
        <w:tc>
          <w:tcPr>
            <w:tcW w:w="81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rFonts w:ascii="Trebuchet MS"/>
                <w:lang w:val="en-GB"/>
              </w:rPr>
              <w:t>Need</w:t>
            </w:r>
          </w:p>
        </w:tc>
      </w:tr>
      <w:tr w:rsidR="00D638EF">
        <w:trPr>
          <w:trHeight w:val="1210"/>
        </w:trPr>
        <w:tc>
          <w:tcPr>
            <w:tcW w:w="23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What would happen if the project did not take place?</w:t>
            </w:r>
          </w:p>
        </w:tc>
        <w:tc>
          <w:tcPr>
            <w:tcW w:w="81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We would continue with limited resilience for our services, relying on manual intervention to recover services as required. Services would be at continue to be at risk for events that arise outside of normal working hours (evenings and weekends) with the associated impact on service availability for the University community.</w:t>
            </w:r>
          </w:p>
        </w:tc>
      </w:tr>
      <w:tr w:rsidR="00D638EF">
        <w:trPr>
          <w:trHeight w:val="3850"/>
        </w:trPr>
        <w:tc>
          <w:tcPr>
            <w:tcW w:w="23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Additional Information</w:t>
            </w:r>
          </w:p>
        </w:tc>
        <w:tc>
          <w:tcPr>
            <w:tcW w:w="81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This project is intended to build on the work of the deployment of new application and database tiers, to implement ways that we could provide more resilience beyond our current basic manual disaster recovery failover provision. Most systems can be failed over to a secondary site in the event of a major problem but require manual, attended intervention. Work to date has highlighted the myriad complexities for implementing this facility for services.</w:t>
            </w:r>
          </w:p>
          <w:p w:rsidR="00D638EF" w:rsidRDefault="00D638EF">
            <w:pPr>
              <w:pStyle w:val="Body"/>
              <w:spacing w:after="0" w:line="240" w:lineRule="auto"/>
            </w:pPr>
          </w:p>
          <w:p w:rsidR="00D638EF" w:rsidRDefault="00967472">
            <w:pPr>
              <w:pStyle w:val="Body"/>
              <w:spacing w:after="0" w:line="240" w:lineRule="auto"/>
            </w:pPr>
            <w:r>
              <w:t>With this project we will look at a specific service and implement a basic automated failover facility to manage unplanned events in the infrastructure or application layer. This will form the basic building block for the next phase of the project. This second phase will look to deliver a general structure for each technology set used in our environment, highlighting what services fall into what category and producing guidance for how automated failover could be achieved. Exceptions will be highlighted. This information will be used to scope future work on all the services for implementation of automated failover facilities where deemed necessary.</w:t>
            </w:r>
          </w:p>
        </w:tc>
      </w:tr>
      <w:tr w:rsidR="00D638EF">
        <w:trPr>
          <w:trHeight w:val="970"/>
        </w:trPr>
        <w:tc>
          <w:tcPr>
            <w:tcW w:w="23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When is it needed?</w:t>
            </w:r>
          </w:p>
        </w:tc>
        <w:tc>
          <w:tcPr>
            <w:tcW w:w="81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 xml:space="preserve">Start Year: 2015/16 </w:t>
            </w:r>
          </w:p>
          <w:p w:rsidR="00D638EF" w:rsidRDefault="00967472">
            <w:pPr>
              <w:pStyle w:val="Body"/>
              <w:spacing w:after="0" w:line="240" w:lineRule="auto"/>
            </w:pPr>
            <w:r>
              <w:br/>
              <w:t>Duration (No. of Years work will span): 1</w:t>
            </w:r>
          </w:p>
        </w:tc>
      </w:tr>
    </w:tbl>
    <w:p w:rsidR="00D638EF" w:rsidRDefault="00D638EF">
      <w:pPr>
        <w:pStyle w:val="Heading2"/>
        <w:widowControl w:val="0"/>
        <w:spacing w:line="240" w:lineRule="auto"/>
      </w:pPr>
    </w:p>
    <w:p w:rsidR="00D638EF" w:rsidRDefault="00967472">
      <w:pPr>
        <w:pStyle w:val="Heading2"/>
        <w:widowControl w:val="0"/>
      </w:pPr>
      <w:r>
        <w:rPr>
          <w:rFonts w:ascii="Times New Roman"/>
        </w:rPr>
        <w:t>IMPACT</w:t>
      </w:r>
    </w:p>
    <w:tbl>
      <w:tblPr>
        <w:tblW w:w="106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6"/>
        <w:gridCol w:w="8306"/>
      </w:tblGrid>
      <w:tr w:rsidR="00D638EF">
        <w:trPr>
          <w:trHeight w:val="49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pPr>
            <w:r>
              <w:rPr>
                <w:sz w:val="24"/>
                <w:szCs w:val="24"/>
              </w:rPr>
              <w:t>Who does it affect?</w:t>
            </w:r>
          </w:p>
        </w:tc>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Users and administrators of systems desiring to provide enhanced availability in outage situations.</w:t>
            </w:r>
          </w:p>
        </w:tc>
      </w:tr>
      <w:tr w:rsidR="00D638EF">
        <w:trPr>
          <w:trHeight w:val="361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lastRenderedPageBreak/>
              <w:t>Why it is needed / what the benefits are</w:t>
            </w:r>
          </w:p>
        </w:tc>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rFonts w:ascii="Trebuchet MS"/>
                <w:lang w:val="en-GB"/>
              </w:rPr>
              <w:t xml:space="preserve">Staff and students have been operating more and more on a 24x7x365 basis. Service availability is </w:t>
            </w:r>
            <w:proofErr w:type="gramStart"/>
            <w:r>
              <w:rPr>
                <w:rFonts w:ascii="Trebuchet MS"/>
                <w:lang w:val="en-GB"/>
              </w:rPr>
              <w:t>key</w:t>
            </w:r>
            <w:proofErr w:type="gramEnd"/>
            <w:r>
              <w:rPr>
                <w:rFonts w:ascii="Trebuchet MS"/>
                <w:lang w:val="en-GB"/>
              </w:rPr>
              <w:t xml:space="preserve"> to ensure this. While our infrastructure is robust, issues to arise and as we do not have personnel on hand to the same timeframe, an automated facility is required.</w:t>
            </w:r>
          </w:p>
          <w:p w:rsidR="00D638EF" w:rsidRDefault="00D638EF">
            <w:pPr>
              <w:pStyle w:val="Body"/>
              <w:spacing w:after="0" w:line="240" w:lineRule="auto"/>
            </w:pPr>
          </w:p>
          <w:p w:rsidR="00D638EF" w:rsidRDefault="00967472">
            <w:pPr>
              <w:pStyle w:val="Body"/>
              <w:spacing w:after="0" w:line="240" w:lineRule="auto"/>
            </w:pPr>
            <w:r>
              <w:rPr>
                <w:rFonts w:ascii="Trebuchet MS"/>
                <w:lang w:val="en-GB"/>
              </w:rPr>
              <w:t>Benefits include:</w:t>
            </w:r>
          </w:p>
          <w:p w:rsidR="00D638EF" w:rsidRDefault="00967472">
            <w:pPr>
              <w:pStyle w:val="Body"/>
              <w:numPr>
                <w:ilvl w:val="0"/>
                <w:numId w:val="2"/>
              </w:numPr>
              <w:spacing w:after="0" w:line="240" w:lineRule="auto"/>
            </w:pPr>
            <w:r>
              <w:rPr>
                <w:rFonts w:ascii="Trebuchet MS"/>
                <w:lang w:val="en-GB"/>
              </w:rPr>
              <w:t>Better availability of services - while the service is reliable in general we would expect this facility to reduce the number of unplanned outages with at least 2 potential events being mitigated a year with this in place.</w:t>
            </w:r>
          </w:p>
          <w:p w:rsidR="00D638EF" w:rsidRDefault="00967472">
            <w:pPr>
              <w:pStyle w:val="Body"/>
              <w:numPr>
                <w:ilvl w:val="0"/>
                <w:numId w:val="2"/>
              </w:numPr>
              <w:spacing w:after="0" w:line="240" w:lineRule="auto"/>
            </w:pPr>
            <w:r>
              <w:rPr>
                <w:rFonts w:ascii="Trebuchet MS"/>
                <w:lang w:val="en-GB"/>
              </w:rPr>
              <w:t>Improve c</w:t>
            </w:r>
            <w:proofErr w:type="spellStart"/>
            <w:r>
              <w:t>ustomer</w:t>
            </w:r>
            <w:proofErr w:type="spellEnd"/>
            <w:r>
              <w:t xml:space="preserve"> satisfaction for users across the service with the facility in place.</w:t>
            </w:r>
          </w:p>
          <w:p w:rsidR="00D638EF" w:rsidRDefault="00967472">
            <w:pPr>
              <w:pStyle w:val="Body"/>
              <w:numPr>
                <w:ilvl w:val="0"/>
                <w:numId w:val="2"/>
              </w:numPr>
              <w:spacing w:after="0" w:line="240" w:lineRule="auto"/>
            </w:pPr>
            <w:r>
              <w:t>Opportunity to use the function to reduce planned outages for individual services.</w:t>
            </w:r>
          </w:p>
          <w:p w:rsidR="00D638EF" w:rsidRDefault="00967472">
            <w:pPr>
              <w:pStyle w:val="Body"/>
              <w:numPr>
                <w:ilvl w:val="0"/>
                <w:numId w:val="2"/>
              </w:numPr>
              <w:spacing w:after="0" w:line="240" w:lineRule="auto"/>
            </w:pPr>
            <w:r>
              <w:t>Input into planning round for implementation of resilience facility for services.</w:t>
            </w:r>
          </w:p>
        </w:tc>
      </w:tr>
      <w:tr w:rsidR="00D638EF">
        <w:trPr>
          <w:trHeight w:val="57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Procurement activity required?</w:t>
            </w:r>
          </w:p>
        </w:tc>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 xml:space="preserve">N/A </w:t>
            </w:r>
          </w:p>
        </w:tc>
      </w:tr>
      <w:tr w:rsidR="00D638EF">
        <w:trPr>
          <w:trHeight w:val="29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BI/MI requirement?</w:t>
            </w:r>
          </w:p>
        </w:tc>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N/A</w:t>
            </w:r>
          </w:p>
        </w:tc>
      </w:tr>
      <w:tr w:rsidR="00D638EF">
        <w:trPr>
          <w:trHeight w:val="29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External costs?</w:t>
            </w:r>
          </w:p>
        </w:tc>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N/A</w:t>
            </w:r>
          </w:p>
        </w:tc>
      </w:tr>
    </w:tbl>
    <w:p w:rsidR="00D638EF" w:rsidRDefault="00D638EF">
      <w:pPr>
        <w:pStyle w:val="Heading2"/>
        <w:widowControl w:val="0"/>
        <w:spacing w:line="240" w:lineRule="auto"/>
      </w:pPr>
    </w:p>
    <w:p w:rsidR="00D638EF" w:rsidRDefault="00967472">
      <w:pPr>
        <w:pStyle w:val="Heading2"/>
        <w:widowControl w:val="0"/>
      </w:pPr>
      <w:r>
        <w:rPr>
          <w:rFonts w:ascii="Times New Roman"/>
        </w:rPr>
        <w:t>CATEGORY</w:t>
      </w:r>
    </w:p>
    <w:tbl>
      <w:tblPr>
        <w:tblW w:w="106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6"/>
        <w:gridCol w:w="2369"/>
        <w:gridCol w:w="999"/>
        <w:gridCol w:w="4938"/>
      </w:tblGrid>
      <w:tr w:rsidR="00D638EF">
        <w:trPr>
          <w:trHeight w:val="85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pPr>
            <w:r>
              <w:rPr>
                <w:sz w:val="24"/>
                <w:szCs w:val="24"/>
              </w:rPr>
              <w:t>Type of work</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Discretionary</w:t>
            </w:r>
          </w:p>
        </w:tc>
        <w:tc>
          <w:tcPr>
            <w:tcW w:w="9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Funding Source</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 xml:space="preserve">Core Grant </w:t>
            </w:r>
          </w:p>
        </w:tc>
      </w:tr>
      <w:tr w:rsidR="00D638EF">
        <w:trPr>
          <w:trHeight w:val="250"/>
        </w:trPr>
        <w:tc>
          <w:tcPr>
            <w:tcW w:w="574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jc w:val="right"/>
            </w:pPr>
            <w:r>
              <w:t xml:space="preserve">*Compliance Justification </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7F7BA1">
            <w:pPr>
              <w:pStyle w:val="Body"/>
              <w:spacing w:after="0" w:line="240" w:lineRule="auto"/>
            </w:pPr>
            <w:r>
              <w:rPr>
                <w:i/>
                <w:iCs/>
              </w:rPr>
              <w:t>n/a</w:t>
            </w:r>
          </w:p>
        </w:tc>
      </w:tr>
      <w:tr w:rsidR="00D638EF">
        <w:trPr>
          <w:trHeight w:val="250"/>
        </w:trPr>
        <w:tc>
          <w:tcPr>
            <w:tcW w:w="574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jc w:val="right"/>
            </w:pPr>
            <w:r>
              <w:rPr>
                <w:i/>
                <w:iCs/>
              </w:rPr>
              <w:t>Meet external legislative requirement</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r w:rsidR="00D638EF">
        <w:trPr>
          <w:trHeight w:val="250"/>
        </w:trPr>
        <w:tc>
          <w:tcPr>
            <w:tcW w:w="574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jc w:val="right"/>
            </w:pPr>
            <w:r>
              <w:rPr>
                <w:i/>
                <w:iCs/>
              </w:rPr>
              <w:t>Address obsolescence of technology component</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r w:rsidR="00D638EF">
        <w:trPr>
          <w:trHeight w:val="490"/>
        </w:trPr>
        <w:tc>
          <w:tcPr>
            <w:tcW w:w="574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jc w:val="right"/>
              <w:rPr>
                <w:i/>
                <w:iCs/>
              </w:rPr>
            </w:pPr>
            <w:r>
              <w:rPr>
                <w:i/>
                <w:iCs/>
              </w:rPr>
              <w:t>Maintain critical University business system AND</w:t>
            </w:r>
          </w:p>
          <w:p w:rsidR="00D638EF" w:rsidRDefault="00967472">
            <w:pPr>
              <w:pStyle w:val="Body"/>
              <w:spacing w:after="0" w:line="240" w:lineRule="auto"/>
              <w:jc w:val="right"/>
            </w:pPr>
            <w:r>
              <w:rPr>
                <w:i/>
                <w:iCs/>
              </w:rPr>
              <w:t>no practical workarounds available</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r w:rsidR="00D638EF">
        <w:trPr>
          <w:trHeight w:val="97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Provide further brief details re. why this should be considered Compliance</w:t>
            </w:r>
          </w:p>
        </w:tc>
        <w:tc>
          <w:tcPr>
            <w:tcW w:w="83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bl>
    <w:p w:rsidR="00D638EF" w:rsidRDefault="00D638EF">
      <w:pPr>
        <w:pStyle w:val="Heading2"/>
        <w:widowControl w:val="0"/>
        <w:spacing w:line="240" w:lineRule="auto"/>
      </w:pPr>
    </w:p>
    <w:p w:rsidR="00D638EF" w:rsidRDefault="00967472">
      <w:pPr>
        <w:pStyle w:val="Heading2"/>
        <w:widowControl w:val="0"/>
      </w:pPr>
      <w:r>
        <w:rPr>
          <w:rFonts w:ascii="Times New Roman"/>
        </w:rPr>
        <w:t>FIT WITH UNIVERSITY STRATEGY</w:t>
      </w:r>
    </w:p>
    <w:tbl>
      <w:tblPr>
        <w:tblW w:w="106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86"/>
        <w:gridCol w:w="425"/>
        <w:gridCol w:w="5471"/>
      </w:tblGrid>
      <w:tr w:rsidR="00D638EF">
        <w:trPr>
          <w:trHeight w:val="290"/>
        </w:trPr>
        <w:tc>
          <w:tcPr>
            <w:tcW w:w="4786" w:type="dxa"/>
            <w:tcBorders>
              <w:top w:val="single" w:sz="4" w:space="0" w:color="000000"/>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pPr>
            <w:r>
              <w:rPr>
                <w:sz w:val="24"/>
                <w:szCs w:val="24"/>
              </w:rPr>
              <w:t>Goals – Excellence in Education</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i/>
                <w:iCs/>
              </w:rPr>
              <w:t>Select appropriate option(s) and provide brief explanation including reference/link to directional statement where appropriate</w:t>
            </w:r>
          </w:p>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Goals – Excellence in Research</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Goals – Excellence in Innovation</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Enablers - People</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Enablers - Infrastructure</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x</w:t>
            </w:r>
          </w:p>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lastRenderedPageBreak/>
              <w:t>Enablers - Finance</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Themes – Outstanding student experience</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rFonts w:ascii="Trebuchet MS"/>
                <w:i/>
                <w:iCs/>
              </w:rPr>
              <w:t>X</w:t>
            </w:r>
          </w:p>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Themes – Global Impact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Themes – Lifelong community</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Themes – Social responsibility</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290"/>
        </w:trPr>
        <w:tc>
          <w:tcPr>
            <w:tcW w:w="4786" w:type="dxa"/>
            <w:tcBorders>
              <w:top w:val="nil"/>
              <w:left w:val="single" w:sz="4" w:space="0" w:color="000000"/>
              <w:bottom w:val="nil"/>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Themes – Partnerships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r w:rsidR="00D638EF">
        <w:trPr>
          <w:trHeight w:val="570"/>
        </w:trPr>
        <w:tc>
          <w:tcPr>
            <w:tcW w:w="4786" w:type="dxa"/>
            <w:tcBorders>
              <w:top w:val="nil"/>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Themes – Equality &amp; widening participation</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5471" w:type="dxa"/>
            <w:vMerge/>
            <w:tcBorders>
              <w:top w:val="single" w:sz="4" w:space="0" w:color="000000"/>
              <w:left w:val="single" w:sz="4" w:space="0" w:color="000000"/>
              <w:bottom w:val="single" w:sz="4" w:space="0" w:color="000000"/>
              <w:right w:val="single" w:sz="4" w:space="0" w:color="000000"/>
            </w:tcBorders>
            <w:shd w:val="clear" w:color="auto" w:fill="auto"/>
          </w:tcPr>
          <w:p w:rsidR="00D638EF" w:rsidRDefault="00D638EF"/>
        </w:tc>
      </w:tr>
    </w:tbl>
    <w:p w:rsidR="00D638EF" w:rsidRDefault="00D638EF">
      <w:pPr>
        <w:pStyle w:val="Heading2"/>
        <w:widowControl w:val="0"/>
        <w:spacing w:line="240" w:lineRule="auto"/>
      </w:pPr>
    </w:p>
    <w:p w:rsidR="00D638EF" w:rsidRDefault="00967472">
      <w:pPr>
        <w:pStyle w:val="Heading2"/>
        <w:widowControl w:val="0"/>
        <w:rPr>
          <w:sz w:val="20"/>
          <w:szCs w:val="20"/>
        </w:rPr>
      </w:pPr>
      <w:r>
        <w:rPr>
          <w:rFonts w:ascii="Times New Roman"/>
          <w:lang w:val="pt-PT"/>
        </w:rPr>
        <w:t xml:space="preserve">SCORE FOR PORTFOLIO COMPARISON </w:t>
      </w:r>
      <w:r>
        <w:rPr>
          <w:rFonts w:ascii="Times New Roman"/>
          <w:sz w:val="20"/>
          <w:szCs w:val="20"/>
          <w:lang w:val="pt-PT"/>
        </w:rPr>
        <w:t>(TO BE COMPLETED BY APPS &amp; PARTNER TOGETHER)</w:t>
      </w:r>
    </w:p>
    <w:tbl>
      <w:tblPr>
        <w:tblW w:w="106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6"/>
        <w:gridCol w:w="6096"/>
        <w:gridCol w:w="2210"/>
      </w:tblGrid>
      <w:tr w:rsidR="00D638EF">
        <w:trPr>
          <w:trHeight w:val="552"/>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pPr>
            <w:proofErr w:type="spellStart"/>
            <w:r>
              <w:rPr>
                <w:sz w:val="24"/>
                <w:szCs w:val="24"/>
              </w:rPr>
              <w:t>Programme</w:t>
            </w:r>
            <w:proofErr w:type="spellEnd"/>
            <w:r>
              <w:rPr>
                <w:sz w:val="24"/>
                <w:szCs w:val="24"/>
              </w:rPr>
              <w:t xml:space="preserve"> Priority </w:t>
            </w:r>
            <w:r>
              <w:rPr>
                <w:sz w:val="20"/>
                <w:szCs w:val="20"/>
              </w:rPr>
              <w:t xml:space="preserve">(per </w:t>
            </w:r>
            <w:hyperlink r:id="rId8" w:history="1">
              <w:r>
                <w:rPr>
                  <w:rStyle w:val="Hyperlink0"/>
                </w:rPr>
                <w:t>separate guidance</w:t>
              </w:r>
            </w:hyperlink>
            <w:r>
              <w:rPr>
                <w:sz w:val="20"/>
                <w:szCs w:val="20"/>
              </w:rPr>
              <w:t>)</w:t>
            </w:r>
          </w:p>
        </w:tc>
        <w:tc>
          <w:tcPr>
            <w:tcW w:w="83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rFonts w:ascii="Trebuchet MS"/>
                <w:i/>
                <w:iCs/>
              </w:rPr>
              <w:t>6</w:t>
            </w:r>
          </w:p>
        </w:tc>
      </w:tr>
      <w:tr w:rsidR="00D638EF">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rPr>
                <w:sz w:val="24"/>
                <w:szCs w:val="24"/>
              </w:rPr>
            </w:pPr>
            <w:r>
              <w:rPr>
                <w:sz w:val="24"/>
                <w:szCs w:val="24"/>
              </w:rPr>
              <w:t>Overall Priority</w:t>
            </w:r>
          </w:p>
          <w:p w:rsidR="00D638EF" w:rsidRDefault="00967472">
            <w:pPr>
              <w:pStyle w:val="Body"/>
              <w:spacing w:after="0" w:line="240" w:lineRule="auto"/>
            </w:pPr>
            <w:r>
              <w:rPr>
                <w:sz w:val="20"/>
                <w:szCs w:val="20"/>
              </w:rPr>
              <w:t xml:space="preserve">(per </w:t>
            </w:r>
            <w:hyperlink r:id="rId9" w:history="1">
              <w:r>
                <w:rPr>
                  <w:rStyle w:val="Hyperlink0"/>
                </w:rPr>
                <w:t>separate guidance</w:t>
              </w:r>
            </w:hyperlink>
            <w:r>
              <w:rPr>
                <w:sz w:val="20"/>
                <w:szCs w:val="20"/>
              </w:rPr>
              <w:t>)</w:t>
            </w:r>
          </w:p>
        </w:tc>
        <w:tc>
          <w:tcPr>
            <w:tcW w:w="83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rFonts w:ascii="Trebuchet MS"/>
                <w:i/>
                <w:iCs/>
              </w:rPr>
              <w:t>1</w:t>
            </w:r>
          </w:p>
        </w:tc>
      </w:tr>
      <w:tr w:rsidR="00D638EF">
        <w:trPr>
          <w:trHeight w:val="49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proofErr w:type="spellStart"/>
            <w:r>
              <w:rPr>
                <w:sz w:val="24"/>
                <w:szCs w:val="24"/>
              </w:rPr>
              <w:t>Programme</w:t>
            </w:r>
            <w:proofErr w:type="spellEnd"/>
            <w:r>
              <w:rPr>
                <w:sz w:val="24"/>
                <w:szCs w:val="24"/>
              </w:rPr>
              <w:t xml:space="preserve"> Scoring </w:t>
            </w:r>
            <w:r>
              <w:rPr>
                <w:sz w:val="20"/>
                <w:szCs w:val="20"/>
              </w:rPr>
              <w:t xml:space="preserve">(per </w:t>
            </w:r>
            <w:hyperlink r:id="rId10" w:history="1">
              <w:r>
                <w:rPr>
                  <w:rStyle w:val="Hyperlink0"/>
                </w:rPr>
                <w:t>separate guidance</w:t>
              </w:r>
            </w:hyperlink>
            <w:r>
              <w:rPr>
                <w:sz w:val="20"/>
                <w:szCs w:val="20"/>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jc w:val="right"/>
            </w:pPr>
            <w:r>
              <w:rPr>
                <w:i/>
                <w:iCs/>
              </w:rPr>
              <w:t>1.Alignment with University Strategic Plan/Business Objectives</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7F7BA1">
            <w:r>
              <w:t>2</w:t>
            </w:r>
          </w:p>
        </w:tc>
      </w:tr>
      <w:tr w:rsidR="00D638EF">
        <w:trPr>
          <w:trHeight w:val="250"/>
        </w:trPr>
        <w:tc>
          <w:tcPr>
            <w:tcW w:w="2376" w:type="dxa"/>
            <w:vMerge/>
            <w:tcBorders>
              <w:top w:val="single" w:sz="4" w:space="0" w:color="000000"/>
              <w:left w:val="single" w:sz="4" w:space="0" w:color="000000"/>
              <w:bottom w:val="single" w:sz="4" w:space="0" w:color="000000"/>
              <w:right w:val="single" w:sz="4" w:space="0" w:color="000000"/>
            </w:tcBorders>
            <w:shd w:val="clear" w:color="auto" w:fill="D9D9D9"/>
          </w:tcPr>
          <w:p w:rsidR="00D638EF" w:rsidRDefault="00D638EF"/>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jc w:val="right"/>
            </w:pPr>
            <w:r>
              <w:rPr>
                <w:i/>
                <w:iCs/>
              </w:rPr>
              <w:t>2.Risk of not doing the project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r>
              <w:t>2</w:t>
            </w:r>
          </w:p>
        </w:tc>
      </w:tr>
      <w:tr w:rsidR="00D638EF">
        <w:trPr>
          <w:trHeight w:val="250"/>
        </w:trPr>
        <w:tc>
          <w:tcPr>
            <w:tcW w:w="2376" w:type="dxa"/>
            <w:vMerge/>
            <w:tcBorders>
              <w:top w:val="single" w:sz="4" w:space="0" w:color="000000"/>
              <w:left w:val="single" w:sz="4" w:space="0" w:color="000000"/>
              <w:bottom w:val="single" w:sz="4" w:space="0" w:color="000000"/>
              <w:right w:val="single" w:sz="4" w:space="0" w:color="000000"/>
            </w:tcBorders>
            <w:shd w:val="clear" w:color="auto" w:fill="D9D9D9"/>
          </w:tcPr>
          <w:p w:rsidR="00D638EF" w:rsidRDefault="00D638EF"/>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jc w:val="right"/>
            </w:pPr>
            <w:r>
              <w:rPr>
                <w:i/>
                <w:iCs/>
              </w:rPr>
              <w:t>3.Benefits relative to cost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r>
              <w:t>2</w:t>
            </w:r>
          </w:p>
        </w:tc>
      </w:tr>
      <w:tr w:rsidR="00D638EF">
        <w:trPr>
          <w:trHeight w:val="250"/>
        </w:trPr>
        <w:tc>
          <w:tcPr>
            <w:tcW w:w="2376" w:type="dxa"/>
            <w:vMerge/>
            <w:tcBorders>
              <w:top w:val="single" w:sz="4" w:space="0" w:color="000000"/>
              <w:left w:val="single" w:sz="4" w:space="0" w:color="000000"/>
              <w:bottom w:val="single" w:sz="4" w:space="0" w:color="000000"/>
              <w:right w:val="single" w:sz="4" w:space="0" w:color="000000"/>
            </w:tcBorders>
            <w:shd w:val="clear" w:color="auto" w:fill="D9D9D9"/>
          </w:tcPr>
          <w:p w:rsidR="00D638EF" w:rsidRDefault="00D638EF"/>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jc w:val="right"/>
            </w:pPr>
            <w:r>
              <w:rPr>
                <w:i/>
                <w:iCs/>
              </w:rPr>
              <w:t>4.Time to deliver tangible benefit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r>
              <w:t>2</w:t>
            </w:r>
          </w:p>
        </w:tc>
      </w:tr>
      <w:tr w:rsidR="00D638EF">
        <w:trPr>
          <w:trHeight w:val="250"/>
        </w:trPr>
        <w:tc>
          <w:tcPr>
            <w:tcW w:w="2376" w:type="dxa"/>
            <w:vMerge/>
            <w:tcBorders>
              <w:top w:val="single" w:sz="4" w:space="0" w:color="000000"/>
              <w:left w:val="single" w:sz="4" w:space="0" w:color="000000"/>
              <w:bottom w:val="single" w:sz="4" w:space="0" w:color="000000"/>
              <w:right w:val="single" w:sz="4" w:space="0" w:color="000000"/>
            </w:tcBorders>
            <w:shd w:val="clear" w:color="auto" w:fill="D9D9D9"/>
          </w:tcPr>
          <w:p w:rsidR="00D638EF" w:rsidRDefault="00D638EF"/>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jc w:val="right"/>
            </w:pPr>
            <w:r>
              <w:rPr>
                <w:i/>
                <w:iCs/>
              </w:rPr>
              <w:t>TOTAL SCORE</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rsidP="00967472">
            <w:r>
              <w:t>16</w:t>
            </w:r>
          </w:p>
        </w:tc>
      </w:tr>
    </w:tbl>
    <w:p w:rsidR="00D638EF" w:rsidRDefault="00D638EF">
      <w:pPr>
        <w:pStyle w:val="Heading2"/>
        <w:widowControl w:val="0"/>
        <w:spacing w:line="240" w:lineRule="auto"/>
        <w:rPr>
          <w:sz w:val="20"/>
          <w:szCs w:val="20"/>
        </w:rPr>
      </w:pPr>
    </w:p>
    <w:p w:rsidR="00D638EF" w:rsidRDefault="00967472">
      <w:pPr>
        <w:pStyle w:val="Heading2"/>
        <w:widowControl w:val="0"/>
        <w:rPr>
          <w:sz w:val="20"/>
          <w:szCs w:val="20"/>
        </w:rPr>
      </w:pPr>
      <w:r>
        <w:rPr>
          <w:rFonts w:ascii="Times New Roman"/>
        </w:rPr>
        <w:t xml:space="preserve">ESTIMATION </w:t>
      </w:r>
      <w:r>
        <w:rPr>
          <w:rFonts w:ascii="Times New Roman"/>
          <w:sz w:val="20"/>
          <w:szCs w:val="20"/>
          <w:lang w:val="pt-PT"/>
        </w:rPr>
        <w:t>(TO BE COMPLETED BY APPS &amp; PARTNER TOGETHER)</w:t>
      </w:r>
    </w:p>
    <w:tbl>
      <w:tblPr>
        <w:tblW w:w="107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1"/>
        <w:gridCol w:w="2436"/>
        <w:gridCol w:w="1134"/>
        <w:gridCol w:w="2977"/>
        <w:gridCol w:w="2537"/>
      </w:tblGrid>
      <w:tr w:rsidR="00D638EF">
        <w:trPr>
          <w:trHeight w:val="290"/>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pPr>
            <w:r>
              <w:rPr>
                <w:sz w:val="24"/>
                <w:szCs w:val="24"/>
              </w:rPr>
              <w:t>Estimation Types: Select the relevant option(s) – each option must be estimated separately</w:t>
            </w:r>
          </w:p>
        </w:tc>
      </w:tr>
      <w:tr w:rsidR="00D638EF">
        <w:trPr>
          <w:trHeight w:val="490"/>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Business Case / Options Appraisal (BUS)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Software Development (in-house) (SWD)</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r w:rsidR="00D638EF">
        <w:trPr>
          <w:trHeight w:val="730"/>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IT Solution Procurement (BUY)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Agile Software Development (in-house) (AGL)</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r w:rsidR="00D638EF">
        <w:trPr>
          <w:trHeight w:val="970"/>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3</w:t>
            </w:r>
            <w:r>
              <w:rPr>
                <w:i/>
                <w:iCs/>
                <w:vertAlign w:val="superscript"/>
              </w:rPr>
              <w:t>rd</w:t>
            </w:r>
            <w:r>
              <w:rPr>
                <w:i/>
                <w:iCs/>
              </w:rPr>
              <w:t xml:space="preserve"> Party IT Solution Implementation (IMP)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Software Development and Configuration within Student Systems Partnership (SSP)</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r w:rsidR="00D638EF">
        <w:trPr>
          <w:trHeight w:val="258"/>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i/>
                <w:iCs/>
              </w:rPr>
              <w:t>IT Infrastructure (TEC)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5F1F1A">
            <w:r>
              <w:t>TEC</w:t>
            </w:r>
            <w:bookmarkStart w:id="0" w:name="_GoBack"/>
            <w:bookmarkEnd w:id="0"/>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D638EF"/>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tc>
      </w:tr>
      <w:tr w:rsidR="00D638EF">
        <w:trPr>
          <w:trHeight w:val="730"/>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t xml:space="preserve">Estimated IS Apps Days </w:t>
            </w:r>
            <w:r>
              <w:br/>
              <w:t>(see additional guidance*)</w:t>
            </w:r>
          </w:p>
          <w:p w:rsidR="00D638EF" w:rsidRDefault="00967472">
            <w:pPr>
              <w:pStyle w:val="Body"/>
              <w:spacing w:after="0" w:line="240" w:lineRule="auto"/>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rFonts w:ascii="Trebuchet MS"/>
              </w:rPr>
              <w:t>M</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Estimated Business Partner Days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S</w:t>
            </w:r>
          </w:p>
        </w:tc>
      </w:tr>
      <w:tr w:rsidR="00D638EF">
        <w:trPr>
          <w:trHeight w:val="970"/>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lastRenderedPageBreak/>
              <w:t xml:space="preserve">Estimated Service </w:t>
            </w:r>
          </w:p>
          <w:p w:rsidR="00D638EF" w:rsidRDefault="00967472">
            <w:pPr>
              <w:pStyle w:val="Body"/>
              <w:spacing w:after="0" w:line="240" w:lineRule="auto"/>
            </w:pPr>
            <w:r>
              <w:t>Management Days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rPr>
                <w:rFonts w:ascii="Trebuchet MS"/>
              </w:rPr>
              <w:t>N/A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Impact on other Service area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D638EF">
            <w:pPr>
              <w:pStyle w:val="Body"/>
              <w:spacing w:after="0" w:line="240" w:lineRule="auto"/>
              <w:rPr>
                <w:i/>
                <w:iCs/>
              </w:rPr>
            </w:pPr>
          </w:p>
        </w:tc>
      </w:tr>
      <w:tr w:rsidR="00D638EF">
        <w:trPr>
          <w:trHeight w:val="1050"/>
        </w:trPr>
        <w:tc>
          <w:tcPr>
            <w:tcW w:w="16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 xml:space="preserve">Estimation Confidence </w:t>
            </w:r>
            <w:r>
              <w:rPr>
                <w:i/>
                <w:iCs/>
              </w:rPr>
              <w:t>(delete as required)</w:t>
            </w:r>
          </w:p>
        </w:tc>
        <w:tc>
          <w:tcPr>
            <w:tcW w:w="908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Not Confident</w:t>
            </w:r>
          </w:p>
        </w:tc>
      </w:tr>
      <w:tr w:rsidR="00D638EF">
        <w:trPr>
          <w:trHeight w:val="570"/>
        </w:trPr>
        <w:tc>
          <w:tcPr>
            <w:tcW w:w="16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638EF" w:rsidRDefault="00967472">
            <w:pPr>
              <w:pStyle w:val="Body"/>
              <w:spacing w:after="0" w:line="240" w:lineRule="auto"/>
            </w:pPr>
            <w:r>
              <w:rPr>
                <w:sz w:val="24"/>
                <w:szCs w:val="24"/>
              </w:rPr>
              <w:t>Estimation References</w:t>
            </w:r>
          </w:p>
        </w:tc>
        <w:tc>
          <w:tcPr>
            <w:tcW w:w="908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38EF" w:rsidRDefault="00967472">
            <w:pPr>
              <w:pStyle w:val="Body"/>
              <w:spacing w:after="0" w:line="240" w:lineRule="auto"/>
            </w:pPr>
            <w:r>
              <w:t xml:space="preserve">We will plan work around time available and ensure scope of investigation can be completed in the time allocated </w:t>
            </w:r>
            <w:proofErr w:type="spellStart"/>
            <w:r>
              <w:t>focussing</w:t>
            </w:r>
            <w:proofErr w:type="spellEnd"/>
            <w:r>
              <w:t xml:space="preserve"> on Top Priority services first.</w:t>
            </w:r>
          </w:p>
        </w:tc>
      </w:tr>
    </w:tbl>
    <w:p w:rsidR="00D638EF" w:rsidRDefault="00D638EF">
      <w:pPr>
        <w:pStyle w:val="Heading2"/>
        <w:widowControl w:val="0"/>
        <w:spacing w:line="240" w:lineRule="auto"/>
        <w:rPr>
          <w:sz w:val="20"/>
          <w:szCs w:val="20"/>
        </w:rPr>
      </w:pPr>
    </w:p>
    <w:p w:rsidR="00D638EF" w:rsidRDefault="00D638EF">
      <w:pPr>
        <w:pStyle w:val="Body"/>
        <w:rPr>
          <w:sz w:val="20"/>
          <w:szCs w:val="20"/>
        </w:rPr>
      </w:pPr>
    </w:p>
    <w:p w:rsidR="00D638EF" w:rsidRDefault="00967472">
      <w:pPr>
        <w:pStyle w:val="Body"/>
        <w:rPr>
          <w:rFonts w:ascii="Cambria" w:eastAsia="Cambria" w:hAnsi="Cambria" w:cs="Cambria"/>
          <w:b/>
          <w:bCs/>
          <w:color w:val="0070C0"/>
          <w:sz w:val="26"/>
          <w:szCs w:val="26"/>
          <w:u w:color="0070C0"/>
        </w:rPr>
      </w:pPr>
      <w:r>
        <w:rPr>
          <w:rFonts w:ascii="Cambria" w:eastAsia="Cambria" w:hAnsi="Cambria" w:cs="Cambria"/>
          <w:b/>
          <w:bCs/>
          <w:color w:val="0070C0"/>
          <w:sz w:val="26"/>
          <w:szCs w:val="26"/>
          <w:u w:color="0070C0"/>
          <w:lang w:val="fr-FR"/>
        </w:rPr>
        <w:t xml:space="preserve">*Estimation </w:t>
      </w:r>
      <w:r>
        <w:rPr>
          <w:rFonts w:ascii="Cambria" w:eastAsia="Cambria" w:hAnsi="Cambria" w:cs="Cambria"/>
          <w:b/>
          <w:bCs/>
          <w:color w:val="0070C0"/>
          <w:sz w:val="26"/>
          <w:szCs w:val="26"/>
          <w:u w:color="0070C0"/>
        </w:rPr>
        <w:t>– Additional Guidance:</w:t>
      </w:r>
    </w:p>
    <w:p w:rsidR="00D638EF" w:rsidRDefault="00967472">
      <w:pPr>
        <w:pStyle w:val="Body"/>
      </w:pPr>
      <w:r>
        <w:rPr>
          <w:lang w:val="fr-FR"/>
        </w:rPr>
        <w:t xml:space="preserve">For </w:t>
      </w:r>
      <w:proofErr w:type="spellStart"/>
      <w:r>
        <w:rPr>
          <w:lang w:val="fr-FR"/>
        </w:rPr>
        <w:t>our</w:t>
      </w:r>
      <w:proofErr w:type="spellEnd"/>
      <w:r>
        <w:rPr>
          <w:lang w:val="fr-FR"/>
        </w:rPr>
        <w:t xml:space="preserve"> 1</w:t>
      </w:r>
      <w:proofErr w:type="spellStart"/>
      <w:r>
        <w:rPr>
          <w:vertAlign w:val="superscript"/>
        </w:rPr>
        <w:t>st</w:t>
      </w:r>
      <w:proofErr w:type="spellEnd"/>
      <w:r>
        <w:t xml:space="preserve"> stage / iteration of the Plan / Red Line, the following standard estimation </w:t>
      </w:r>
      <w:proofErr w:type="spellStart"/>
      <w:r>
        <w:t>categorisations</w:t>
      </w:r>
      <w:proofErr w:type="spellEnd"/>
      <w:r>
        <w:t xml:space="preserve"> will be used:</w:t>
      </w:r>
    </w:p>
    <w:p w:rsidR="00D638EF" w:rsidRDefault="00967472">
      <w:pPr>
        <w:pStyle w:val="ListParagraph"/>
        <w:numPr>
          <w:ilvl w:val="0"/>
          <w:numId w:val="5"/>
        </w:numPr>
        <w:tabs>
          <w:tab w:val="num" w:pos="360"/>
        </w:tabs>
        <w:ind w:left="360" w:hanging="360"/>
      </w:pPr>
      <w:r>
        <w:rPr>
          <w:rFonts w:ascii="Trebuchet MS"/>
        </w:rPr>
        <w:t xml:space="preserve">Small </w:t>
      </w:r>
      <w:r>
        <w:rPr>
          <w:rFonts w:hAnsi="Arial Unicode MS"/>
        </w:rPr>
        <w:t>–</w:t>
      </w:r>
      <w:r>
        <w:rPr>
          <w:rFonts w:hAnsi="Arial Unicode MS"/>
        </w:rPr>
        <w:t xml:space="preserve"> </w:t>
      </w:r>
      <w:r>
        <w:rPr>
          <w:rFonts w:ascii="Trebuchet MS"/>
        </w:rPr>
        <w:t xml:space="preserve">this is based on average expected outturn of around 50 days (+ or </w:t>
      </w:r>
      <w:r>
        <w:rPr>
          <w:rFonts w:hAnsi="Arial Unicode MS"/>
        </w:rPr>
        <w:t>–</w:t>
      </w:r>
      <w:r>
        <w:rPr>
          <w:rFonts w:hAnsi="Arial Unicode MS"/>
        </w:rPr>
        <w:t xml:space="preserve"> </w:t>
      </w:r>
      <w:r>
        <w:rPr>
          <w:rFonts w:ascii="Trebuchet MS"/>
        </w:rPr>
        <w:t>20%)</w:t>
      </w:r>
    </w:p>
    <w:p w:rsidR="00D638EF" w:rsidRDefault="00967472">
      <w:pPr>
        <w:pStyle w:val="ListParagraph"/>
        <w:numPr>
          <w:ilvl w:val="0"/>
          <w:numId w:val="6"/>
        </w:numPr>
        <w:tabs>
          <w:tab w:val="num" w:pos="360"/>
        </w:tabs>
        <w:ind w:left="360" w:hanging="360"/>
      </w:pPr>
      <w:r>
        <w:rPr>
          <w:rFonts w:ascii="Trebuchet MS"/>
        </w:rPr>
        <w:t xml:space="preserve">Medium </w:t>
      </w:r>
      <w:r>
        <w:rPr>
          <w:rFonts w:hAnsi="Arial Unicode MS"/>
        </w:rPr>
        <w:t>–</w:t>
      </w:r>
      <w:r>
        <w:rPr>
          <w:rFonts w:hAnsi="Arial Unicode MS"/>
        </w:rPr>
        <w:t xml:space="preserve"> </w:t>
      </w:r>
      <w:r>
        <w:rPr>
          <w:rFonts w:ascii="Trebuchet MS"/>
        </w:rPr>
        <w:t xml:space="preserve">this is based on average expected outturn of around 100 days (+ or </w:t>
      </w:r>
      <w:r>
        <w:rPr>
          <w:rFonts w:hAnsi="Arial Unicode MS"/>
        </w:rPr>
        <w:t>–</w:t>
      </w:r>
      <w:r>
        <w:rPr>
          <w:rFonts w:hAnsi="Arial Unicode MS"/>
        </w:rPr>
        <w:t xml:space="preserve"> </w:t>
      </w:r>
      <w:r>
        <w:rPr>
          <w:rFonts w:ascii="Trebuchet MS"/>
        </w:rPr>
        <w:t>20%)</w:t>
      </w:r>
    </w:p>
    <w:p w:rsidR="00D638EF" w:rsidRDefault="00967472">
      <w:pPr>
        <w:pStyle w:val="ListParagraph"/>
        <w:numPr>
          <w:ilvl w:val="0"/>
          <w:numId w:val="7"/>
        </w:numPr>
        <w:tabs>
          <w:tab w:val="num" w:pos="360"/>
        </w:tabs>
        <w:ind w:left="360" w:hanging="360"/>
      </w:pPr>
      <w:r>
        <w:rPr>
          <w:rFonts w:ascii="Trebuchet MS"/>
        </w:rPr>
        <w:t xml:space="preserve">Large </w:t>
      </w:r>
      <w:r>
        <w:rPr>
          <w:rFonts w:hAnsi="Arial Unicode MS"/>
        </w:rPr>
        <w:t>–</w:t>
      </w:r>
      <w:r>
        <w:rPr>
          <w:rFonts w:hAnsi="Arial Unicode MS"/>
        </w:rPr>
        <w:t xml:space="preserve"> </w:t>
      </w:r>
      <w:r>
        <w:rPr>
          <w:rFonts w:ascii="Trebuchet MS"/>
        </w:rPr>
        <w:t xml:space="preserve">this is based on average expected outturn of around 200 days (+ or </w:t>
      </w:r>
      <w:r>
        <w:rPr>
          <w:rFonts w:hAnsi="Arial Unicode MS"/>
        </w:rPr>
        <w:t>–</w:t>
      </w:r>
      <w:r>
        <w:rPr>
          <w:rFonts w:hAnsi="Arial Unicode MS"/>
        </w:rPr>
        <w:t xml:space="preserve"> </w:t>
      </w:r>
      <w:r>
        <w:rPr>
          <w:rFonts w:ascii="Trebuchet MS"/>
        </w:rPr>
        <w:t>20%)</w:t>
      </w:r>
    </w:p>
    <w:p w:rsidR="00D638EF" w:rsidRDefault="00967472">
      <w:pPr>
        <w:pStyle w:val="ListParagraph"/>
        <w:numPr>
          <w:ilvl w:val="0"/>
          <w:numId w:val="9"/>
        </w:numPr>
        <w:tabs>
          <w:tab w:val="num" w:pos="396"/>
        </w:tabs>
        <w:ind w:left="396" w:hanging="396"/>
      </w:pPr>
      <w:r>
        <w:rPr>
          <w:rFonts w:ascii="Trebuchet MS"/>
        </w:rPr>
        <w:t xml:space="preserve">Extra Large </w:t>
      </w:r>
      <w:r>
        <w:rPr>
          <w:rFonts w:hAnsi="Arial Unicode MS"/>
        </w:rPr>
        <w:t>–</w:t>
      </w:r>
      <w:r>
        <w:rPr>
          <w:rFonts w:hAnsi="Arial Unicode MS"/>
        </w:rPr>
        <w:t xml:space="preserve"> </w:t>
      </w:r>
      <w:r>
        <w:rPr>
          <w:rFonts w:ascii="Trebuchet MS"/>
        </w:rPr>
        <w:t xml:space="preserve">this is based on average expected outturn of around 400 days (+ or </w:t>
      </w:r>
      <w:r>
        <w:rPr>
          <w:rFonts w:hAnsi="Arial Unicode MS"/>
        </w:rPr>
        <w:t>–</w:t>
      </w:r>
      <w:r>
        <w:rPr>
          <w:rFonts w:hAnsi="Arial Unicode MS"/>
        </w:rPr>
        <w:t xml:space="preserve"> </w:t>
      </w:r>
      <w:r>
        <w:rPr>
          <w:rFonts w:ascii="Trebuchet MS"/>
        </w:rPr>
        <w:t>20%)</w:t>
      </w:r>
    </w:p>
    <w:p w:rsidR="00D638EF" w:rsidRDefault="00967472">
      <w:pPr>
        <w:pStyle w:val="Body"/>
      </w:pPr>
      <w:r>
        <w:t xml:space="preserve">Individual proposal allocations will be made using the expected outturn figure and an allocation equivalent to 20% of each estimate will be added as Contingency to each </w:t>
      </w:r>
      <w:proofErr w:type="spellStart"/>
      <w:r>
        <w:t>Programme</w:t>
      </w:r>
      <w:proofErr w:type="spellEnd"/>
      <w:r>
        <w:t>.</w:t>
      </w:r>
      <w:r>
        <w:tab/>
      </w:r>
    </w:p>
    <w:p w:rsidR="00D638EF" w:rsidRDefault="00967472">
      <w:pPr>
        <w:pStyle w:val="Body"/>
      </w:pPr>
      <w:r>
        <w:tab/>
      </w:r>
      <w:r>
        <w:tab/>
      </w:r>
      <w:r>
        <w:tab/>
      </w:r>
      <w:r>
        <w:tab/>
      </w:r>
      <w:r>
        <w:tab/>
      </w:r>
    </w:p>
    <w:p w:rsidR="00D638EF" w:rsidRDefault="00967472">
      <w:pPr>
        <w:pStyle w:val="Body"/>
      </w:pPr>
      <w:r>
        <w:tab/>
      </w:r>
      <w:r>
        <w:tab/>
      </w:r>
      <w:r>
        <w:tab/>
      </w:r>
      <w:r>
        <w:tab/>
      </w:r>
      <w:r>
        <w:tab/>
      </w:r>
    </w:p>
    <w:sectPr w:rsidR="00D638EF">
      <w:headerReference w:type="default" r:id="rId11"/>
      <w:footerReference w:type="default" r:id="rId12"/>
      <w:pgSz w:w="11900" w:h="16840"/>
      <w:pgMar w:top="720" w:right="720" w:bottom="720" w:left="72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60" w:rsidRDefault="00967472">
      <w:r>
        <w:separator/>
      </w:r>
    </w:p>
  </w:endnote>
  <w:endnote w:type="continuationSeparator" w:id="0">
    <w:p w:rsidR="00E30A60" w:rsidRDefault="0096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EF" w:rsidRDefault="00D638E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60" w:rsidRDefault="00967472">
      <w:r>
        <w:separator/>
      </w:r>
    </w:p>
  </w:footnote>
  <w:footnote w:type="continuationSeparator" w:id="0">
    <w:p w:rsidR="00E30A60" w:rsidRDefault="0096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EF" w:rsidRDefault="00D638E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164"/>
    <w:multiLevelType w:val="multilevel"/>
    <w:tmpl w:val="BA44387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11EF2FCA"/>
    <w:multiLevelType w:val="multilevel"/>
    <w:tmpl w:val="4476E15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1FC57D4B"/>
    <w:multiLevelType w:val="multilevel"/>
    <w:tmpl w:val="FF0869B2"/>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3">
    <w:nsid w:val="37BF6150"/>
    <w:multiLevelType w:val="multilevel"/>
    <w:tmpl w:val="FE884DA8"/>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4">
    <w:nsid w:val="43DD44EC"/>
    <w:multiLevelType w:val="multilevel"/>
    <w:tmpl w:val="933AA1E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4A0F788A"/>
    <w:multiLevelType w:val="multilevel"/>
    <w:tmpl w:val="2990C214"/>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nsid w:val="568A25C3"/>
    <w:multiLevelType w:val="multilevel"/>
    <w:tmpl w:val="C65E765C"/>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nsid w:val="59333681"/>
    <w:multiLevelType w:val="multilevel"/>
    <w:tmpl w:val="4D66B99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5A3F6987"/>
    <w:multiLevelType w:val="multilevel"/>
    <w:tmpl w:val="6964B86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2"/>
  </w:num>
  <w:num w:numId="2">
    <w:abstractNumId w:val="3"/>
  </w:num>
  <w:num w:numId="3">
    <w:abstractNumId w:val="7"/>
  </w:num>
  <w:num w:numId="4">
    <w:abstractNumId w:val="4"/>
  </w:num>
  <w:num w:numId="5">
    <w:abstractNumId w:val="8"/>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638EF"/>
    <w:rsid w:val="005F1F1A"/>
    <w:rsid w:val="007F7BA1"/>
    <w:rsid w:val="00967472"/>
    <w:rsid w:val="00D638EF"/>
    <w:rsid w:val="00E30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line="276" w:lineRule="auto"/>
      <w:outlineLvl w:val="1"/>
    </w:pPr>
    <w:rPr>
      <w:rFonts w:ascii="Cambria" w:eastAsia="Cambria" w:hAnsi="Cambria" w:cs="Cambria"/>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Numbered">
    <w:name w:val="Numbered"/>
    <w:pPr>
      <w:numPr>
        <w:numId w:val="2"/>
      </w:numPr>
    </w:p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aps w:val="0"/>
      <w:smallCaps w:val="0"/>
      <w:strike w:val="0"/>
      <w:dstrike w:val="0"/>
      <w:outline w:val="0"/>
      <w:color w:val="0000FF"/>
      <w:spacing w:val="0"/>
      <w:kern w:val="0"/>
      <w:position w:val="0"/>
      <w:sz w:val="20"/>
      <w:szCs w:val="20"/>
      <w:u w:val="single" w:color="0000FF"/>
      <w:vertAlign w:val="baseline"/>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7"/>
      </w:numPr>
    </w:pPr>
  </w:style>
  <w:style w:type="numbering" w:customStyle="1" w:styleId="ImportedStyle1">
    <w:name w:val="Imported Style 1"/>
  </w:style>
  <w:style w:type="numbering" w:customStyle="1" w:styleId="List1">
    <w:name w:val="List 1"/>
    <w:basedOn w:val="ImportedStyle1"/>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line="276" w:lineRule="auto"/>
      <w:outlineLvl w:val="1"/>
    </w:pPr>
    <w:rPr>
      <w:rFonts w:ascii="Cambria" w:eastAsia="Cambria" w:hAnsi="Cambria" w:cs="Cambria"/>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Numbered">
    <w:name w:val="Numbered"/>
    <w:pPr>
      <w:numPr>
        <w:numId w:val="2"/>
      </w:numPr>
    </w:p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aps w:val="0"/>
      <w:smallCaps w:val="0"/>
      <w:strike w:val="0"/>
      <w:dstrike w:val="0"/>
      <w:outline w:val="0"/>
      <w:color w:val="0000FF"/>
      <w:spacing w:val="0"/>
      <w:kern w:val="0"/>
      <w:position w:val="0"/>
      <w:sz w:val="20"/>
      <w:szCs w:val="20"/>
      <w:u w:val="single" w:color="0000FF"/>
      <w:vertAlign w:val="baseline"/>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7"/>
      </w:numPr>
    </w:pPr>
  </w:style>
  <w:style w:type="numbering" w:customStyle="1" w:styleId="ImportedStyle1">
    <w:name w:val="Imported Style 1"/>
  </w:style>
  <w:style w:type="numbering" w:customStyle="1" w:styleId="List1">
    <w:name w:val="List 1"/>
    <w:basedOn w:val="ImportedStyle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wiki.ed.ac.uk/display/insite/Guidance+for+Programme+and+Portfolio+Prioritisation+of+Proposals+in+3-Year+Plann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ki.ed.ac.uk/display/insite/Guidance+for+Programme+and+Portfolio+Prioritisation+of+Proposals+in+3-Year+Planning" TargetMode="External"/><Relationship Id="rId4" Type="http://schemas.openxmlformats.org/officeDocument/2006/relationships/settings" Target="settings.xml"/><Relationship Id="rId9" Type="http://schemas.openxmlformats.org/officeDocument/2006/relationships/hyperlink" Target="https://www.wiki.ed.ac.uk/display/insite/Guidance+for+Programme+and+Portfolio+Prioritisation+of+Proposals+in+3-Year+Planning"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919</Words>
  <Characters>5243</Characters>
  <Application>Microsoft Office Word</Application>
  <DocSecurity>0</DocSecurity>
  <Lines>43</Lines>
  <Paragraphs>12</Paragraphs>
  <ScaleCrop>false</ScaleCrop>
  <Company>University of Edinburgh</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FRANCESCHI Maurice</cp:lastModifiedBy>
  <cp:revision>4</cp:revision>
  <dcterms:created xsi:type="dcterms:W3CDTF">2014-11-24T12:52:00Z</dcterms:created>
  <dcterms:modified xsi:type="dcterms:W3CDTF">2014-11-27T10:55:00Z</dcterms:modified>
</cp:coreProperties>
</file>