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r w:rsidRPr="00097D93">
        <w:t xml:space="preserve">IS Applications </w:t>
      </w:r>
      <w:r w:rsidR="00DE0845">
        <w:t>3 Year Rolling</w:t>
      </w:r>
      <w:r w:rsidR="00DE0845" w:rsidRPr="00097D93">
        <w:t xml:space="preserve"> </w:t>
      </w:r>
      <w:r w:rsidRPr="00097D93">
        <w:t>Planning 201</w:t>
      </w:r>
      <w:r w:rsidR="00DE0845">
        <w:t>4</w:t>
      </w:r>
      <w:r w:rsidRPr="00097D93">
        <w:t>/1</w:t>
      </w:r>
      <w:r w:rsidR="00DE0845">
        <w:t>5 to 2016/17</w:t>
      </w:r>
    </w:p>
    <w:p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1843"/>
        <w:gridCol w:w="1843"/>
      </w:tblGrid>
      <w:tr w:rsidR="000D528D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19" w:type="dxa"/>
            <w:gridSpan w:val="2"/>
          </w:tcPr>
          <w:p w:rsidR="009F3B26" w:rsidRPr="008B5CEE" w:rsidRDefault="0017137D" w:rsidP="00C26119">
            <w:pPr>
              <w:rPr>
                <w:i/>
              </w:rPr>
            </w:pPr>
            <w:r>
              <w:rPr>
                <w:i/>
              </w:rPr>
              <w:t>Service Management Improvement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1843" w:type="dxa"/>
          </w:tcPr>
          <w:p w:rsidR="009F3B26" w:rsidRPr="008B5CEE" w:rsidRDefault="0017137D" w:rsidP="00C26119">
            <w:pPr>
              <w:rPr>
                <w:i/>
              </w:rPr>
            </w:pPr>
            <w:r>
              <w:rPr>
                <w:i/>
              </w:rPr>
              <w:t>C</w:t>
            </w:r>
          </w:p>
        </w:tc>
      </w:tr>
      <w:tr w:rsidR="001B4393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19" w:type="dxa"/>
            <w:gridSpan w:val="2"/>
          </w:tcPr>
          <w:p w:rsidR="001B4393" w:rsidRPr="008B5CEE" w:rsidRDefault="0017137D" w:rsidP="00C26119">
            <w:pPr>
              <w:rPr>
                <w:i/>
              </w:rPr>
            </w:pPr>
            <w:r>
              <w:rPr>
                <w:i/>
              </w:rPr>
              <w:t>ISG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8505" w:type="dxa"/>
            <w:gridSpan w:val="4"/>
          </w:tcPr>
          <w:p w:rsidR="00044CE5" w:rsidRPr="008B5CEE" w:rsidRDefault="008B5CEE" w:rsidP="002C22E9">
            <w:pPr>
              <w:rPr>
                <w:i/>
              </w:rPr>
            </w:pPr>
            <w:r w:rsidRPr="008B5CEE">
              <w:rPr>
                <w:i/>
              </w:rPr>
              <w:t xml:space="preserve"> </w:t>
            </w:r>
            <w:proofErr w:type="spellStart"/>
            <w:r w:rsidR="002C22E9">
              <w:rPr>
                <w:b/>
                <w:i/>
              </w:rPr>
              <w:t>TOPdesk</w:t>
            </w:r>
            <w:proofErr w:type="spellEnd"/>
            <w:r w:rsidR="002C22E9">
              <w:rPr>
                <w:b/>
                <w:i/>
              </w:rPr>
              <w:t xml:space="preserve"> Annual Upgrade</w:t>
            </w:r>
            <w:r w:rsidR="001D76CC" w:rsidRPr="00206DF4">
              <w:rPr>
                <w:b/>
                <w:i/>
              </w:rPr>
              <w:t xml:space="preserve"> </w:t>
            </w: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Default="00B4303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8505" w:type="dxa"/>
            <w:gridSpan w:val="4"/>
          </w:tcPr>
          <w:p w:rsidR="008B5CEE" w:rsidRDefault="008B5CEE" w:rsidP="00C26119">
            <w:pPr>
              <w:rPr>
                <w:i/>
              </w:rPr>
            </w:pPr>
          </w:p>
          <w:p w:rsidR="000C3623" w:rsidRPr="008B5CEE" w:rsidRDefault="008B236B" w:rsidP="00C26119">
            <w:pPr>
              <w:rPr>
                <w:i/>
              </w:rPr>
            </w:pPr>
            <w:r>
              <w:rPr>
                <w:i/>
              </w:rPr>
              <w:t>Stuart McFarlane</w:t>
            </w:r>
          </w:p>
        </w:tc>
      </w:tr>
      <w:tr w:rsidR="009C27AB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505" w:type="dxa"/>
            <w:gridSpan w:val="4"/>
          </w:tcPr>
          <w:p w:rsidR="009C27AB" w:rsidRDefault="009C27AB" w:rsidP="00C26119">
            <w:pPr>
              <w:rPr>
                <w:i/>
              </w:rPr>
            </w:pPr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F3B26" w:rsidRPr="00097D93" w:rsidTr="000C3623">
        <w:trPr>
          <w:trHeight w:val="988"/>
        </w:trPr>
        <w:tc>
          <w:tcPr>
            <w:tcW w:w="2093" w:type="dxa"/>
            <w:shd w:val="clear" w:color="auto" w:fill="D9D9D9" w:themeFill="background1" w:themeFillShade="D9"/>
          </w:tcPr>
          <w:p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8505" w:type="dxa"/>
            <w:gridSpan w:val="4"/>
          </w:tcPr>
          <w:p w:rsidR="009F3B26" w:rsidRDefault="008B236B" w:rsidP="00C26119">
            <w:r>
              <w:rPr>
                <w:b/>
                <w:i/>
              </w:rPr>
              <w:t xml:space="preserve">Ensure that UniDesk is running either the current or previous to current version of the </w:t>
            </w:r>
            <w:proofErr w:type="spellStart"/>
            <w:r>
              <w:rPr>
                <w:b/>
                <w:i/>
              </w:rPr>
              <w:t>TopDesk</w:t>
            </w:r>
            <w:proofErr w:type="spellEnd"/>
            <w:r>
              <w:rPr>
                <w:b/>
                <w:i/>
              </w:rPr>
              <w:t xml:space="preserve"> software. This is the guida</w:t>
            </w:r>
            <w:r w:rsidR="003A1054">
              <w:rPr>
                <w:b/>
                <w:i/>
              </w:rPr>
              <w:t xml:space="preserve">nce given by the UniDesk board </w:t>
            </w:r>
            <w:r>
              <w:rPr>
                <w:b/>
                <w:i/>
              </w:rPr>
              <w:t>and confirmation of the upgrade schedule will come from the UniDesk CAB. It is expected to result in one upgrade a year.</w:t>
            </w:r>
          </w:p>
          <w:p w:rsidR="00BE3EFE" w:rsidRDefault="00BE3EFE" w:rsidP="00C26119"/>
          <w:p w:rsidR="00BE3EFE" w:rsidRPr="009F3B26" w:rsidRDefault="00BE3EFE" w:rsidP="00C26119"/>
          <w:p w:rsidR="009F3B26" w:rsidRPr="009F3B26" w:rsidRDefault="009F3B26" w:rsidP="00C26119"/>
          <w:p w:rsidR="009F3B26" w:rsidRPr="008B5CEE" w:rsidRDefault="009F3B26" w:rsidP="00C26119">
            <w:pPr>
              <w:rPr>
                <w:i/>
              </w:rPr>
            </w:pPr>
          </w:p>
        </w:tc>
      </w:tr>
      <w:tr w:rsidR="0097066C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5D0AFD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05" w:type="dxa"/>
            <w:gridSpan w:val="4"/>
          </w:tcPr>
          <w:p w:rsidR="00BE3EFE" w:rsidRDefault="008B236B" w:rsidP="00DA1186">
            <w:pPr>
              <w:rPr>
                <w:i/>
              </w:rPr>
            </w:pPr>
            <w:r>
              <w:rPr>
                <w:i/>
              </w:rPr>
              <w:t xml:space="preserve">This allows us to maximise benefits from the twice yearly releases provided from </w:t>
            </w:r>
            <w:proofErr w:type="spellStart"/>
            <w:r>
              <w:rPr>
                <w:i/>
              </w:rPr>
              <w:t>TopDesk</w:t>
            </w:r>
            <w:proofErr w:type="spellEnd"/>
            <w:r>
              <w:rPr>
                <w:i/>
              </w:rPr>
              <w:t>, provide resolution to known bugs and issues in a timely manner and create a positive support environment for institutions using the UniDesk shared service.</w:t>
            </w:r>
          </w:p>
          <w:p w:rsidR="008B236B" w:rsidRDefault="008B236B" w:rsidP="00DA1186">
            <w:pPr>
              <w:rPr>
                <w:i/>
              </w:rPr>
            </w:pPr>
            <w:r>
              <w:rPr>
                <w:i/>
              </w:rPr>
              <w:t xml:space="preserve">It will also reduce the work involved in any single upgrade by keeping upgrades </w:t>
            </w:r>
            <w:r w:rsidR="00001F43">
              <w:rPr>
                <w:i/>
              </w:rPr>
              <w:t>incremental rather than spanning across several releases which usually causes added complexity.</w:t>
            </w:r>
          </w:p>
          <w:p w:rsidR="00BE3EFE" w:rsidRDefault="00BE3EFE" w:rsidP="00DA1186">
            <w:pPr>
              <w:rPr>
                <w:i/>
              </w:rPr>
            </w:pPr>
          </w:p>
          <w:p w:rsidR="00BE3EFE" w:rsidRDefault="00BE3EFE" w:rsidP="00DA1186">
            <w:pPr>
              <w:rPr>
                <w:i/>
              </w:rPr>
            </w:pPr>
          </w:p>
          <w:p w:rsidR="00BE3EFE" w:rsidRDefault="00BE3EFE" w:rsidP="00DA1186">
            <w:pPr>
              <w:rPr>
                <w:i/>
              </w:rPr>
            </w:pPr>
          </w:p>
          <w:p w:rsidR="00BE3EFE" w:rsidRPr="00044CE5" w:rsidRDefault="00BE3EFE" w:rsidP="00DA1186">
            <w:pPr>
              <w:rPr>
                <w:i/>
              </w:rPr>
            </w:pPr>
          </w:p>
        </w:tc>
      </w:tr>
      <w:tr w:rsidR="00DE0845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DE0845" w:rsidRDefault="00DE0845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</w:p>
        </w:tc>
        <w:tc>
          <w:tcPr>
            <w:tcW w:w="8505" w:type="dxa"/>
            <w:gridSpan w:val="4"/>
          </w:tcPr>
          <w:p w:rsidR="00DE0845" w:rsidRDefault="00DE0845" w:rsidP="00C26119">
            <w:pPr>
              <w:rPr>
                <w:i/>
              </w:rPr>
            </w:pPr>
            <w:r>
              <w:rPr>
                <w:i/>
              </w:rPr>
              <w:t>Start Year: 2014/15 / 2015/1</w:t>
            </w:r>
            <w:r w:rsidR="00001F43">
              <w:rPr>
                <w:i/>
              </w:rPr>
              <w:t xml:space="preserve">6 / 2016/17 </w:t>
            </w:r>
          </w:p>
          <w:p w:rsidR="00DE0845" w:rsidRDefault="00DE0845" w:rsidP="00C26119">
            <w:pPr>
              <w:rPr>
                <w:i/>
              </w:rPr>
            </w:pPr>
            <w:r>
              <w:rPr>
                <w:i/>
              </w:rPr>
              <w:t xml:space="preserve">Duration (No. of Years): </w:t>
            </w:r>
            <w:r w:rsidR="00001F43">
              <w:rPr>
                <w:i/>
              </w:rPr>
              <w:t>1 project per year</w:t>
            </w:r>
          </w:p>
          <w:p w:rsidR="00DE0845" w:rsidRPr="00044CE5" w:rsidRDefault="00DE0845" w:rsidP="00C26119">
            <w:pPr>
              <w:rPr>
                <w:i/>
              </w:rPr>
            </w:pPr>
          </w:p>
        </w:tc>
      </w:tr>
      <w:tr w:rsidR="002045FB" w:rsidRPr="00097D93" w:rsidTr="004E5ABA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 w:rsidRPr="00BB165D">
              <w:rPr>
                <w:sz w:val="24"/>
                <w:szCs w:val="24"/>
              </w:rPr>
              <w:t>Type of 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045FB" w:rsidRPr="008B5CEE" w:rsidRDefault="002045FB" w:rsidP="004E5ABA">
            <w:pPr>
              <w:rPr>
                <w:i/>
              </w:rPr>
            </w:pPr>
            <w:r w:rsidRPr="00BB165D">
              <w:rPr>
                <w:i/>
              </w:rPr>
              <w:t>Compliance  / Discretionary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45FB" w:rsidRPr="005D0AFD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3686" w:type="dxa"/>
            <w:gridSpan w:val="2"/>
          </w:tcPr>
          <w:p w:rsidR="002045FB" w:rsidRPr="008B5CEE" w:rsidRDefault="002045FB" w:rsidP="004E5ABA">
            <w:pPr>
              <w:rPr>
                <w:i/>
              </w:rPr>
            </w:pPr>
            <w:r w:rsidRPr="00BB165D">
              <w:rPr>
                <w:i/>
              </w:rPr>
              <w:t>Sponsor Funded</w:t>
            </w:r>
          </w:p>
        </w:tc>
      </w:tr>
      <w:tr w:rsidR="002045FB" w:rsidRPr="00097D93" w:rsidTr="002045FB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*Compliance Justification </w:t>
            </w:r>
          </w:p>
        </w:tc>
        <w:tc>
          <w:tcPr>
            <w:tcW w:w="2977" w:type="dxa"/>
          </w:tcPr>
          <w:p w:rsidR="001D76CC" w:rsidRDefault="00001F43" w:rsidP="001D76CC">
            <w:pPr>
              <w:rPr>
                <w:i/>
              </w:rPr>
            </w:pPr>
            <w:r>
              <w:rPr>
                <w:i/>
              </w:rPr>
              <w:t>Projects may become compliance if we slip behind our intended schedule</w:t>
            </w:r>
            <w:r w:rsidR="0017137D">
              <w:rPr>
                <w:i/>
              </w:rPr>
              <w:t>.</w:t>
            </w:r>
          </w:p>
          <w:p w:rsidR="0017137D" w:rsidRDefault="0017137D" w:rsidP="001D76CC">
            <w:pPr>
              <w:rPr>
                <w:i/>
              </w:rPr>
            </w:pPr>
          </w:p>
          <w:p w:rsidR="0017137D" w:rsidRDefault="0017137D" w:rsidP="001D76CC">
            <w:pPr>
              <w:rPr>
                <w:i/>
              </w:rPr>
            </w:pPr>
            <w:r>
              <w:rPr>
                <w:i/>
              </w:rPr>
              <w:t xml:space="preserve">We have agreed with our UniDesk partners not to fall behind more than two version of latest </w:t>
            </w:r>
            <w:proofErr w:type="spellStart"/>
            <w:r>
              <w:rPr>
                <w:i/>
              </w:rPr>
              <w:t>TOpdesk</w:t>
            </w:r>
            <w:proofErr w:type="spellEnd"/>
            <w:r>
              <w:rPr>
                <w:i/>
              </w:rPr>
              <w:t>.</w:t>
            </w:r>
          </w:p>
          <w:p w:rsidR="001D76CC" w:rsidRPr="008B5CEE" w:rsidRDefault="001D76CC" w:rsidP="001D76CC">
            <w:pPr>
              <w:rPr>
                <w:i/>
              </w:rPr>
            </w:pPr>
          </w:p>
        </w:tc>
        <w:tc>
          <w:tcPr>
            <w:tcW w:w="1842" w:type="dxa"/>
          </w:tcPr>
          <w:p w:rsidR="002045FB" w:rsidRDefault="002045FB" w:rsidP="0020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</w:p>
          <w:p w:rsidR="002045FB" w:rsidRPr="008B5CEE" w:rsidRDefault="002045FB" w:rsidP="004E5ABA">
            <w:pPr>
              <w:rPr>
                <w:i/>
              </w:rPr>
            </w:pPr>
          </w:p>
        </w:tc>
        <w:tc>
          <w:tcPr>
            <w:tcW w:w="3686" w:type="dxa"/>
            <w:gridSpan w:val="2"/>
          </w:tcPr>
          <w:p w:rsidR="002045FB" w:rsidRPr="008B5CEE" w:rsidRDefault="00001F43" w:rsidP="004E5ABA">
            <w:pPr>
              <w:rPr>
                <w:i/>
              </w:rPr>
            </w:pPr>
            <w:r>
              <w:rPr>
                <w:i/>
              </w:rPr>
              <w:t xml:space="preserve">New </w:t>
            </w:r>
          </w:p>
        </w:tc>
      </w:tr>
    </w:tbl>
    <w:p w:rsidR="002045FB" w:rsidRDefault="002045FB"/>
    <w:p w:rsidR="00BE3EFE" w:rsidRDefault="00BE3EF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045FB" w:rsidRPr="009F3B26" w:rsidRDefault="002045FB" w:rsidP="002045FB">
      <w:pPr>
        <w:pStyle w:val="Heading2"/>
      </w:pPr>
      <w:r>
        <w:lastRenderedPageBreak/>
        <w:t>Estimation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059"/>
        <w:gridCol w:w="3388"/>
        <w:gridCol w:w="4300"/>
      </w:tblGrid>
      <w:tr w:rsidR="002045FB" w:rsidRPr="00097D93" w:rsidTr="00BE3EFE">
        <w:trPr>
          <w:trHeight w:val="597"/>
        </w:trPr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Estimation Type </w:t>
            </w:r>
          </w:p>
          <w:p w:rsidR="002045FB" w:rsidRPr="005D0AFD" w:rsidRDefault="002045FB" w:rsidP="00044CE5">
            <w:pPr>
              <w:rPr>
                <w:i/>
                <w:sz w:val="24"/>
                <w:szCs w:val="24"/>
              </w:rPr>
            </w:pPr>
          </w:p>
          <w:p w:rsidR="002045FB" w:rsidRPr="005D0AFD" w:rsidRDefault="002045FB" w:rsidP="00044CE5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 xml:space="preserve">Software </w:t>
            </w:r>
            <w:r>
              <w:rPr>
                <w:i/>
              </w:rPr>
              <w:t>Development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044CE5" w:rsidRDefault="002045FB" w:rsidP="00044CE5">
            <w:pPr>
              <w:rPr>
                <w:i/>
              </w:rPr>
            </w:pPr>
            <w:r>
              <w:rPr>
                <w:i/>
              </w:rPr>
              <w:t>Software Configuration e.g. SITS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Infrastructure Development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Business Case</w:t>
            </w:r>
            <w:r>
              <w:rPr>
                <w:i/>
              </w:rPr>
              <w:t xml:space="preserve"> / Options Appraisal 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Procurement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Impleme</w:t>
            </w:r>
            <w:r>
              <w:rPr>
                <w:i/>
              </w:rPr>
              <w:t>nt Package Solution</w:t>
            </w:r>
          </w:p>
        </w:tc>
        <w:tc>
          <w:tcPr>
            <w:tcW w:w="4300" w:type="dxa"/>
          </w:tcPr>
          <w:p w:rsidR="002045FB" w:rsidRPr="008B5CEE" w:rsidRDefault="00352114" w:rsidP="00044CE5">
            <w:pPr>
              <w:rPr>
                <w:i/>
              </w:rPr>
            </w:pPr>
            <w:r>
              <w:rPr>
                <w:i/>
              </w:rPr>
              <w:t>Y</w:t>
            </w:r>
          </w:p>
        </w:tc>
      </w:tr>
      <w:tr w:rsidR="000D528D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0D528D" w:rsidRPr="009F3B26" w:rsidRDefault="000D528D" w:rsidP="00C26119">
            <w:r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1059" w:type="dxa"/>
          </w:tcPr>
          <w:p w:rsidR="000D528D" w:rsidRDefault="00001F43" w:rsidP="00C26119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4300" w:type="dxa"/>
          </w:tcPr>
          <w:p w:rsidR="000D528D" w:rsidRDefault="00001F43" w:rsidP="00C26119">
            <w:pPr>
              <w:rPr>
                <w:i/>
              </w:rPr>
            </w:pPr>
            <w:r>
              <w:rPr>
                <w:i/>
              </w:rPr>
              <w:t>S</w:t>
            </w:r>
            <w:r w:rsidR="00352114">
              <w:rPr>
                <w:i/>
              </w:rPr>
              <w:t xml:space="preserve"> – UniDesk Partners</w:t>
            </w:r>
          </w:p>
        </w:tc>
      </w:tr>
      <w:tr w:rsidR="00DE0845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DE0845" w:rsidRDefault="00C82AE0" w:rsidP="00C26119">
            <w:r w:rsidRPr="00C82AE0">
              <w:t>Estimated Service Management Days</w:t>
            </w:r>
          </w:p>
        </w:tc>
        <w:tc>
          <w:tcPr>
            <w:tcW w:w="1059" w:type="dxa"/>
          </w:tcPr>
          <w:p w:rsidR="00DE0845" w:rsidRDefault="00001F43" w:rsidP="00C26119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DE0845" w:rsidRDefault="00C82AE0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on other Service area</w:t>
            </w:r>
          </w:p>
        </w:tc>
        <w:tc>
          <w:tcPr>
            <w:tcW w:w="4300" w:type="dxa"/>
          </w:tcPr>
          <w:p w:rsidR="00C82AE0" w:rsidRDefault="00352114" w:rsidP="00C26119">
            <w:pPr>
              <w:rPr>
                <w:i/>
              </w:rPr>
            </w:pPr>
            <w:r>
              <w:rPr>
                <w:i/>
              </w:rPr>
              <w:t xml:space="preserve">S - </w:t>
            </w:r>
            <w:r w:rsidR="00001F43">
              <w:rPr>
                <w:i/>
              </w:rPr>
              <w:t>USD</w:t>
            </w:r>
          </w:p>
          <w:p w:rsidR="00C82AE0" w:rsidRDefault="00C82AE0" w:rsidP="00C26119">
            <w:pPr>
              <w:rPr>
                <w:i/>
              </w:rPr>
            </w:pPr>
          </w:p>
          <w:p w:rsidR="00DE0845" w:rsidRDefault="00DE0845" w:rsidP="00C26119">
            <w:pPr>
              <w:rPr>
                <w:i/>
              </w:rPr>
            </w:pPr>
          </w:p>
          <w:p w:rsidR="000C3623" w:rsidRDefault="000C3623" w:rsidP="00C26119">
            <w:pPr>
              <w:rPr>
                <w:i/>
              </w:rPr>
            </w:pPr>
          </w:p>
        </w:tc>
      </w:tr>
      <w:tr w:rsidR="00731723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731723" w:rsidRDefault="0073172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Estimation Confidence </w:t>
            </w:r>
            <w:r w:rsidR="00792EF2">
              <w:rPr>
                <w:i/>
              </w:rPr>
              <w:t>(delete as required)</w:t>
            </w:r>
          </w:p>
        </w:tc>
        <w:tc>
          <w:tcPr>
            <w:tcW w:w="8747" w:type="dxa"/>
            <w:gridSpan w:val="3"/>
          </w:tcPr>
          <w:p w:rsidR="00731723" w:rsidRDefault="00731723" w:rsidP="00C26119">
            <w:pPr>
              <w:rPr>
                <w:i/>
              </w:rPr>
            </w:pPr>
            <w:r>
              <w:rPr>
                <w:i/>
              </w:rPr>
              <w:t>Highly Confident (Done this before)</w:t>
            </w:r>
          </w:p>
          <w:p w:rsidR="00731723" w:rsidRDefault="00731723" w:rsidP="00001F43">
            <w:pPr>
              <w:rPr>
                <w:i/>
              </w:rPr>
            </w:pPr>
          </w:p>
        </w:tc>
      </w:tr>
      <w:tr w:rsidR="009F3B26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8747" w:type="dxa"/>
            <w:gridSpan w:val="3"/>
          </w:tcPr>
          <w:p w:rsidR="009C27AB" w:rsidRDefault="00352114" w:rsidP="009C27AB">
            <w:pPr>
              <w:rPr>
                <w:i/>
              </w:rPr>
            </w:pPr>
            <w:bookmarkStart w:id="0" w:name="_GoBack"/>
            <w:r>
              <w:rPr>
                <w:i/>
              </w:rPr>
              <w:t>Upgrades have been carried out before but the extent of change varies by upgrade.</w:t>
            </w:r>
            <w:bookmarkEnd w:id="0"/>
          </w:p>
          <w:p w:rsidR="00352114" w:rsidRPr="009C27AB" w:rsidRDefault="00352114" w:rsidP="009C27AB">
            <w:pPr>
              <w:rPr>
                <w:i/>
              </w:rPr>
            </w:pP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:rsidR="000D528D" w:rsidRDefault="001B4393" w:rsidP="000D528D">
      <w:pPr>
        <w:pStyle w:val="ListParagraph"/>
        <w:numPr>
          <w:ilvl w:val="0"/>
          <w:numId w:val="3"/>
        </w:numPr>
      </w:pPr>
      <w:r w:rsidRPr="00BE3EFE">
        <w:rPr>
          <w:sz w:val="24"/>
          <w:szCs w:val="24"/>
        </w:rPr>
        <w:t xml:space="preserve">Extra Large – 500 days </w:t>
      </w:r>
      <w:r w:rsidR="000D528D">
        <w:tab/>
      </w:r>
      <w:r w:rsidR="000D528D">
        <w:tab/>
      </w:r>
      <w:r w:rsidR="000D528D">
        <w:tab/>
      </w:r>
      <w:r w:rsidR="000D528D">
        <w:tab/>
      </w:r>
      <w:r w:rsidR="000D528D"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01F43"/>
    <w:rsid w:val="00044CE5"/>
    <w:rsid w:val="0005231F"/>
    <w:rsid w:val="00096F08"/>
    <w:rsid w:val="00097D93"/>
    <w:rsid w:val="000A58CD"/>
    <w:rsid w:val="000C3623"/>
    <w:rsid w:val="000D528D"/>
    <w:rsid w:val="00144C94"/>
    <w:rsid w:val="0017137D"/>
    <w:rsid w:val="001B4393"/>
    <w:rsid w:val="001D76CC"/>
    <w:rsid w:val="002045FB"/>
    <w:rsid w:val="00270B09"/>
    <w:rsid w:val="002C22E9"/>
    <w:rsid w:val="002F0A4F"/>
    <w:rsid w:val="00352114"/>
    <w:rsid w:val="003A1054"/>
    <w:rsid w:val="005838E1"/>
    <w:rsid w:val="005B0308"/>
    <w:rsid w:val="005D0AFD"/>
    <w:rsid w:val="006C5F92"/>
    <w:rsid w:val="00731723"/>
    <w:rsid w:val="0076682F"/>
    <w:rsid w:val="00792EF2"/>
    <w:rsid w:val="008B236B"/>
    <w:rsid w:val="008B5CEE"/>
    <w:rsid w:val="008E4330"/>
    <w:rsid w:val="0097066C"/>
    <w:rsid w:val="00973AD1"/>
    <w:rsid w:val="009C04BA"/>
    <w:rsid w:val="009C27AB"/>
    <w:rsid w:val="009F3B26"/>
    <w:rsid w:val="00A11DD6"/>
    <w:rsid w:val="00A73856"/>
    <w:rsid w:val="00B4303F"/>
    <w:rsid w:val="00B47876"/>
    <w:rsid w:val="00BB165D"/>
    <w:rsid w:val="00BE3EFE"/>
    <w:rsid w:val="00C26119"/>
    <w:rsid w:val="00C63351"/>
    <w:rsid w:val="00C82AE0"/>
    <w:rsid w:val="00CC3574"/>
    <w:rsid w:val="00CF4FEA"/>
    <w:rsid w:val="00DA1186"/>
    <w:rsid w:val="00DB0320"/>
    <w:rsid w:val="00D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06C1-B667-4E99-A860-C2349210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FRANCESCHI Maurice</cp:lastModifiedBy>
  <cp:revision>8</cp:revision>
  <cp:lastPrinted>2013-11-14T13:51:00Z</cp:lastPrinted>
  <dcterms:created xsi:type="dcterms:W3CDTF">2013-11-14T15:27:00Z</dcterms:created>
  <dcterms:modified xsi:type="dcterms:W3CDTF">2013-11-29T15:42:00Z</dcterms:modified>
</cp:coreProperties>
</file>