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30" w:rsidRDefault="00097D93" w:rsidP="00C82AE0">
      <w:pPr>
        <w:pStyle w:val="Heading1"/>
        <w:jc w:val="center"/>
      </w:pPr>
      <w:r w:rsidRPr="00097D93">
        <w:t xml:space="preserve">IS Applications </w:t>
      </w:r>
      <w:r w:rsidR="00DE0845">
        <w:t>3 Year Rolling</w:t>
      </w:r>
      <w:r w:rsidR="00DE0845" w:rsidRPr="00097D93">
        <w:t xml:space="preserve"> </w:t>
      </w:r>
      <w:r w:rsidRPr="00097D93">
        <w:t>Planning 201</w:t>
      </w:r>
      <w:r w:rsidR="00DE0845">
        <w:t>4</w:t>
      </w:r>
      <w:r w:rsidRPr="00097D93">
        <w:t>/1</w:t>
      </w:r>
      <w:r w:rsidR="00DE0845">
        <w:t>5 to 2016/17</w:t>
      </w:r>
    </w:p>
    <w:p w:rsidR="009F3B26" w:rsidRPr="009F3B26" w:rsidRDefault="008B5CEE" w:rsidP="009C27AB">
      <w:pPr>
        <w:pStyle w:val="Heading2"/>
      </w:pPr>
      <w:r>
        <w:t>Proposal Suggestion Template</w:t>
      </w:r>
    </w:p>
    <w:tbl>
      <w:tblPr>
        <w:tblStyle w:val="TableGrid"/>
        <w:tblW w:w="0" w:type="auto"/>
        <w:tblLook w:val="04A0" w:firstRow="1" w:lastRow="0" w:firstColumn="1" w:lastColumn="0" w:noHBand="0" w:noVBand="1"/>
      </w:tblPr>
      <w:tblGrid>
        <w:gridCol w:w="2093"/>
        <w:gridCol w:w="2977"/>
        <w:gridCol w:w="1842"/>
        <w:gridCol w:w="1843"/>
        <w:gridCol w:w="1843"/>
      </w:tblGrid>
      <w:tr w:rsidR="000D528D" w:rsidRPr="008B5CEE" w:rsidTr="000C3623">
        <w:tc>
          <w:tcPr>
            <w:tcW w:w="2093" w:type="dxa"/>
            <w:shd w:val="clear" w:color="auto" w:fill="D9D9D9" w:themeFill="background1" w:themeFillShade="D9"/>
          </w:tcPr>
          <w:p w:rsidR="009F3B26" w:rsidRPr="00097D93" w:rsidRDefault="009F3B26" w:rsidP="00C26119">
            <w:pPr>
              <w:rPr>
                <w:sz w:val="24"/>
                <w:szCs w:val="24"/>
              </w:rPr>
            </w:pPr>
            <w:r>
              <w:rPr>
                <w:sz w:val="24"/>
                <w:szCs w:val="24"/>
              </w:rPr>
              <w:t>Programme</w:t>
            </w:r>
          </w:p>
        </w:tc>
        <w:tc>
          <w:tcPr>
            <w:tcW w:w="4819" w:type="dxa"/>
            <w:gridSpan w:val="2"/>
          </w:tcPr>
          <w:p w:rsidR="009F3B26" w:rsidRDefault="009F3B26" w:rsidP="00C26119">
            <w:pPr>
              <w:rPr>
                <w:i/>
              </w:rPr>
            </w:pPr>
            <w:r w:rsidRPr="008B5CEE">
              <w:rPr>
                <w:i/>
              </w:rPr>
              <w:t>Programme Name</w:t>
            </w:r>
          </w:p>
          <w:p w:rsidR="00CE00C6" w:rsidRPr="008B5CEE" w:rsidRDefault="00CE00C6" w:rsidP="00C26119">
            <w:pPr>
              <w:rPr>
                <w:i/>
              </w:rPr>
            </w:pPr>
            <w:r>
              <w:rPr>
                <w:i/>
              </w:rPr>
              <w:t>SMI</w:t>
            </w:r>
          </w:p>
        </w:tc>
        <w:tc>
          <w:tcPr>
            <w:tcW w:w="1843" w:type="dxa"/>
            <w:shd w:val="clear" w:color="auto" w:fill="D9D9D9" w:themeFill="background1" w:themeFillShade="D9"/>
          </w:tcPr>
          <w:p w:rsidR="009F3B26" w:rsidRPr="005D0AFD" w:rsidRDefault="009F3B26" w:rsidP="00C26119">
            <w:pPr>
              <w:rPr>
                <w:sz w:val="24"/>
                <w:szCs w:val="24"/>
              </w:rPr>
            </w:pPr>
            <w:r w:rsidRPr="005D0AFD">
              <w:rPr>
                <w:sz w:val="24"/>
                <w:szCs w:val="24"/>
              </w:rPr>
              <w:t>Programme Priority</w:t>
            </w:r>
          </w:p>
        </w:tc>
        <w:tc>
          <w:tcPr>
            <w:tcW w:w="1843" w:type="dxa"/>
          </w:tcPr>
          <w:p w:rsidR="009F3B26" w:rsidRPr="008B5CEE" w:rsidRDefault="001C4EB6" w:rsidP="00C26119">
            <w:pPr>
              <w:rPr>
                <w:i/>
              </w:rPr>
            </w:pPr>
            <w:r>
              <w:rPr>
                <w:i/>
              </w:rPr>
              <w:t>4</w:t>
            </w:r>
          </w:p>
        </w:tc>
      </w:tr>
      <w:tr w:rsidR="001B4393" w:rsidRPr="008B5CEE" w:rsidTr="000C3623">
        <w:tc>
          <w:tcPr>
            <w:tcW w:w="2093" w:type="dxa"/>
            <w:shd w:val="clear" w:color="auto" w:fill="D9D9D9" w:themeFill="background1" w:themeFillShade="D9"/>
          </w:tcPr>
          <w:p w:rsidR="001B4393" w:rsidRDefault="001B4393" w:rsidP="00C26119">
            <w:pPr>
              <w:rPr>
                <w:sz w:val="24"/>
                <w:szCs w:val="24"/>
              </w:rPr>
            </w:pPr>
            <w:r>
              <w:rPr>
                <w:sz w:val="24"/>
                <w:szCs w:val="24"/>
              </w:rPr>
              <w:t>Portfolio</w:t>
            </w:r>
          </w:p>
        </w:tc>
        <w:tc>
          <w:tcPr>
            <w:tcW w:w="4819" w:type="dxa"/>
            <w:gridSpan w:val="2"/>
          </w:tcPr>
          <w:p w:rsidR="001B4393" w:rsidRPr="008B5CEE" w:rsidRDefault="00CE00C6" w:rsidP="00C26119">
            <w:pPr>
              <w:rPr>
                <w:i/>
              </w:rPr>
            </w:pPr>
            <w:r>
              <w:rPr>
                <w:i/>
              </w:rPr>
              <w:t xml:space="preserve"> ISG </w:t>
            </w:r>
          </w:p>
        </w:tc>
        <w:tc>
          <w:tcPr>
            <w:tcW w:w="1843" w:type="dxa"/>
            <w:shd w:val="clear" w:color="auto" w:fill="D9D9D9" w:themeFill="background1" w:themeFillShade="D9"/>
          </w:tcPr>
          <w:p w:rsidR="001B4393" w:rsidRPr="005D0AFD" w:rsidRDefault="001B4393" w:rsidP="00C26119">
            <w:pPr>
              <w:rPr>
                <w:sz w:val="24"/>
                <w:szCs w:val="24"/>
              </w:rPr>
            </w:pPr>
            <w:r w:rsidRPr="005D0AFD">
              <w:rPr>
                <w:sz w:val="24"/>
                <w:szCs w:val="24"/>
              </w:rPr>
              <w:t>Portfolio Priorit</w:t>
            </w:r>
            <w:r w:rsidR="005D0AFD" w:rsidRPr="005D0AFD">
              <w:rPr>
                <w:sz w:val="24"/>
                <w:szCs w:val="24"/>
              </w:rPr>
              <w:t>y</w:t>
            </w:r>
          </w:p>
        </w:tc>
        <w:tc>
          <w:tcPr>
            <w:tcW w:w="1843" w:type="dxa"/>
          </w:tcPr>
          <w:p w:rsidR="001B4393" w:rsidRPr="008B5CEE" w:rsidRDefault="001B4393" w:rsidP="00C26119">
            <w:pPr>
              <w:rPr>
                <w:i/>
              </w:rPr>
            </w:pPr>
          </w:p>
        </w:tc>
      </w:tr>
      <w:tr w:rsidR="008B5CEE" w:rsidRPr="00097D93" w:rsidTr="000C3623">
        <w:tc>
          <w:tcPr>
            <w:tcW w:w="2093" w:type="dxa"/>
            <w:shd w:val="clear" w:color="auto" w:fill="D9D9D9" w:themeFill="background1" w:themeFillShade="D9"/>
          </w:tcPr>
          <w:p w:rsidR="008B5CEE" w:rsidRPr="00097D93" w:rsidRDefault="009F3B26" w:rsidP="00C26119">
            <w:pPr>
              <w:rPr>
                <w:sz w:val="24"/>
                <w:szCs w:val="24"/>
              </w:rPr>
            </w:pPr>
            <w:r>
              <w:rPr>
                <w:sz w:val="24"/>
                <w:szCs w:val="24"/>
              </w:rPr>
              <w:t>Proposal Name</w:t>
            </w:r>
          </w:p>
        </w:tc>
        <w:tc>
          <w:tcPr>
            <w:tcW w:w="8505" w:type="dxa"/>
            <w:gridSpan w:val="4"/>
          </w:tcPr>
          <w:p w:rsidR="00044CE5" w:rsidRPr="008B5CEE" w:rsidRDefault="008B5CEE" w:rsidP="00FB1DBA">
            <w:pPr>
              <w:rPr>
                <w:i/>
              </w:rPr>
            </w:pPr>
            <w:r w:rsidRPr="008B5CEE">
              <w:rPr>
                <w:i/>
              </w:rPr>
              <w:t xml:space="preserve"> </w:t>
            </w:r>
            <w:r w:rsidR="001D76CC">
              <w:rPr>
                <w:b/>
                <w:i/>
              </w:rPr>
              <w:t>Improve</w:t>
            </w:r>
            <w:r w:rsidR="001D76CC" w:rsidRPr="00206DF4">
              <w:rPr>
                <w:b/>
                <w:i/>
              </w:rPr>
              <w:t xml:space="preserve"> communications to applicants about the</w:t>
            </w:r>
            <w:r w:rsidR="001D76CC">
              <w:rPr>
                <w:b/>
                <w:i/>
              </w:rPr>
              <w:t>ir</w:t>
            </w:r>
            <w:r w:rsidR="001D76CC" w:rsidRPr="00206DF4">
              <w:rPr>
                <w:b/>
                <w:i/>
              </w:rPr>
              <w:t xml:space="preserve"> </w:t>
            </w:r>
            <w:r w:rsidR="00FB1DBA">
              <w:rPr>
                <w:b/>
                <w:i/>
              </w:rPr>
              <w:t>Office 365 account</w:t>
            </w:r>
          </w:p>
        </w:tc>
      </w:tr>
      <w:tr w:rsidR="008B5CEE" w:rsidRPr="00097D93" w:rsidTr="000C3623">
        <w:tc>
          <w:tcPr>
            <w:tcW w:w="2093" w:type="dxa"/>
            <w:shd w:val="clear" w:color="auto" w:fill="D9D9D9" w:themeFill="background1" w:themeFillShade="D9"/>
          </w:tcPr>
          <w:p w:rsidR="008B5CEE" w:rsidRDefault="00B4303F" w:rsidP="00C26119">
            <w:pPr>
              <w:rPr>
                <w:sz w:val="24"/>
                <w:szCs w:val="24"/>
              </w:rPr>
            </w:pPr>
            <w:r>
              <w:rPr>
                <w:sz w:val="24"/>
                <w:szCs w:val="24"/>
              </w:rPr>
              <w:t>Proposal Sponsor</w:t>
            </w:r>
          </w:p>
        </w:tc>
        <w:tc>
          <w:tcPr>
            <w:tcW w:w="8505" w:type="dxa"/>
            <w:gridSpan w:val="4"/>
          </w:tcPr>
          <w:p w:rsidR="008B5CEE" w:rsidRDefault="00CE00C6" w:rsidP="00C26119">
            <w:pPr>
              <w:rPr>
                <w:i/>
              </w:rPr>
            </w:pPr>
            <w:r>
              <w:rPr>
                <w:i/>
              </w:rPr>
              <w:t>Bryan MacGregor</w:t>
            </w:r>
          </w:p>
          <w:p w:rsidR="000C3623" w:rsidRPr="008B5CEE" w:rsidRDefault="000C3623" w:rsidP="00C26119">
            <w:pPr>
              <w:rPr>
                <w:i/>
              </w:rPr>
            </w:pPr>
          </w:p>
        </w:tc>
      </w:tr>
      <w:tr w:rsidR="009C27AB" w:rsidRPr="00097D93" w:rsidTr="000C3623">
        <w:tc>
          <w:tcPr>
            <w:tcW w:w="2093" w:type="dxa"/>
            <w:shd w:val="clear" w:color="auto" w:fill="D9D9D9" w:themeFill="background1" w:themeFillShade="D9"/>
          </w:tcPr>
          <w:p w:rsidR="009C27AB" w:rsidRDefault="009C27AB" w:rsidP="00C26119">
            <w:pPr>
              <w:rPr>
                <w:sz w:val="24"/>
                <w:szCs w:val="24"/>
              </w:rPr>
            </w:pPr>
            <w:r>
              <w:rPr>
                <w:sz w:val="24"/>
                <w:szCs w:val="24"/>
              </w:rPr>
              <w:t>Other Contributors</w:t>
            </w:r>
          </w:p>
        </w:tc>
        <w:tc>
          <w:tcPr>
            <w:tcW w:w="8505" w:type="dxa"/>
            <w:gridSpan w:val="4"/>
          </w:tcPr>
          <w:p w:rsidR="009C27AB" w:rsidRDefault="00CE00C6" w:rsidP="00C26119">
            <w:pPr>
              <w:rPr>
                <w:i/>
              </w:rPr>
            </w:pPr>
            <w:r>
              <w:rPr>
                <w:i/>
              </w:rPr>
              <w:t>Neil Bruce</w:t>
            </w:r>
          </w:p>
          <w:p w:rsidR="000C3623" w:rsidRPr="008B5CEE" w:rsidRDefault="000C3623" w:rsidP="00C26119">
            <w:pPr>
              <w:rPr>
                <w:i/>
              </w:rPr>
            </w:pPr>
          </w:p>
        </w:tc>
      </w:tr>
      <w:tr w:rsidR="009F3B26" w:rsidRPr="00097D93" w:rsidTr="000C3623">
        <w:trPr>
          <w:trHeight w:val="988"/>
        </w:trPr>
        <w:tc>
          <w:tcPr>
            <w:tcW w:w="2093" w:type="dxa"/>
            <w:shd w:val="clear" w:color="auto" w:fill="D9D9D9" w:themeFill="background1" w:themeFillShade="D9"/>
          </w:tcPr>
          <w:p w:rsidR="009F3B26" w:rsidRDefault="0097066C" w:rsidP="00C26119">
            <w:pPr>
              <w:rPr>
                <w:sz w:val="24"/>
                <w:szCs w:val="24"/>
              </w:rPr>
            </w:pPr>
            <w:r>
              <w:rPr>
                <w:sz w:val="24"/>
                <w:szCs w:val="24"/>
              </w:rPr>
              <w:t>What it is</w:t>
            </w:r>
          </w:p>
        </w:tc>
        <w:tc>
          <w:tcPr>
            <w:tcW w:w="8505" w:type="dxa"/>
            <w:gridSpan w:val="4"/>
          </w:tcPr>
          <w:p w:rsidR="00E3185D" w:rsidRPr="00206DF4" w:rsidRDefault="00E3185D" w:rsidP="00E3185D">
            <w:pPr>
              <w:rPr>
                <w:b/>
                <w:i/>
              </w:rPr>
            </w:pPr>
            <w:r w:rsidRPr="00206DF4">
              <w:rPr>
                <w:b/>
                <w:i/>
              </w:rPr>
              <w:t>Ensure that communications to new students about the availability of the</w:t>
            </w:r>
            <w:r>
              <w:rPr>
                <w:b/>
                <w:i/>
              </w:rPr>
              <w:t>ir</w:t>
            </w:r>
            <w:r w:rsidRPr="00206DF4">
              <w:rPr>
                <w:b/>
                <w:i/>
              </w:rPr>
              <w:t xml:space="preserve"> Office 365 accounts are synchronised with the creation of the </w:t>
            </w:r>
            <w:r>
              <w:rPr>
                <w:b/>
                <w:i/>
              </w:rPr>
              <w:t>account</w:t>
            </w:r>
            <w:r w:rsidRPr="00206DF4">
              <w:rPr>
                <w:b/>
                <w:i/>
              </w:rPr>
              <w:t>.</w:t>
            </w:r>
          </w:p>
          <w:p w:rsidR="009F3B26" w:rsidRDefault="009F3B26" w:rsidP="00C26119"/>
          <w:p w:rsidR="00BE3EFE" w:rsidRDefault="00BE3EFE" w:rsidP="00C26119"/>
          <w:p w:rsidR="00BE3EFE" w:rsidRPr="009F3B26" w:rsidRDefault="00BE3EFE" w:rsidP="00C26119"/>
          <w:p w:rsidR="009F3B26" w:rsidRPr="009F3B26" w:rsidRDefault="009F3B26" w:rsidP="00C26119"/>
          <w:p w:rsidR="009F3B26" w:rsidRPr="008B5CEE" w:rsidRDefault="009F3B26" w:rsidP="00C26119">
            <w:pPr>
              <w:rPr>
                <w:i/>
              </w:rPr>
            </w:pPr>
          </w:p>
        </w:tc>
      </w:tr>
      <w:tr w:rsidR="0097066C" w:rsidRPr="00097D93" w:rsidTr="000C3623">
        <w:tc>
          <w:tcPr>
            <w:tcW w:w="2093" w:type="dxa"/>
            <w:shd w:val="clear" w:color="auto" w:fill="D9D9D9" w:themeFill="background1" w:themeFillShade="D9"/>
          </w:tcPr>
          <w:p w:rsidR="005D0AFD" w:rsidRDefault="0097066C" w:rsidP="0097066C">
            <w:pPr>
              <w:rPr>
                <w:sz w:val="24"/>
                <w:szCs w:val="24"/>
              </w:rPr>
            </w:pPr>
            <w:r>
              <w:rPr>
                <w:sz w:val="24"/>
                <w:szCs w:val="24"/>
              </w:rPr>
              <w:t>Why it is needed</w:t>
            </w:r>
            <w:r w:rsidR="001B4393">
              <w:rPr>
                <w:sz w:val="24"/>
                <w:szCs w:val="24"/>
              </w:rPr>
              <w:t xml:space="preserve"> / what the benefits are</w:t>
            </w:r>
            <w:r>
              <w:rPr>
                <w:sz w:val="24"/>
                <w:szCs w:val="24"/>
              </w:rPr>
              <w:br/>
            </w:r>
          </w:p>
        </w:tc>
        <w:tc>
          <w:tcPr>
            <w:tcW w:w="8505" w:type="dxa"/>
            <w:gridSpan w:val="4"/>
          </w:tcPr>
          <w:p w:rsidR="00E3185D" w:rsidRDefault="00E3185D" w:rsidP="00E3185D">
            <w:pPr>
              <w:rPr>
                <w:i/>
              </w:rPr>
            </w:pPr>
            <w:r>
              <w:rPr>
                <w:i/>
              </w:rPr>
              <w:t xml:space="preserve">At the moment the process that informs new students to begin using their Office 365 mailbox is initiated when the student goes UF. It does not check for the availability of the Office 365 account itself. </w:t>
            </w:r>
          </w:p>
          <w:p w:rsidR="00E3185D" w:rsidRDefault="00E3185D" w:rsidP="00E3185D">
            <w:pPr>
              <w:rPr>
                <w:i/>
              </w:rPr>
            </w:pPr>
          </w:p>
          <w:p w:rsidR="00E3185D" w:rsidRDefault="00E3185D" w:rsidP="00E3185D">
            <w:pPr>
              <w:rPr>
                <w:i/>
              </w:rPr>
            </w:pPr>
            <w:r>
              <w:rPr>
                <w:i/>
              </w:rPr>
              <w:t>There are often delays and problems with the provisioning of the Office 365 accounts which mean students experience an error when they try to access their mail. This error is a string of 48 random characters which doesn’t inform the student what the problem is.</w:t>
            </w:r>
          </w:p>
          <w:p w:rsidR="00E3185D" w:rsidRDefault="00E3185D" w:rsidP="00E3185D">
            <w:pPr>
              <w:rPr>
                <w:i/>
              </w:rPr>
            </w:pPr>
          </w:p>
          <w:p w:rsidR="00E3185D" w:rsidRDefault="00E3185D" w:rsidP="00E3185D">
            <w:pPr>
              <w:rPr>
                <w:i/>
              </w:rPr>
            </w:pPr>
            <w:r>
              <w:rPr>
                <w:i/>
              </w:rPr>
              <w:t>Over the summer we were taking around 500 support calls per month about the Office 365 service, the majority were arising from this issue.</w:t>
            </w:r>
          </w:p>
          <w:p w:rsidR="00E3185D" w:rsidRDefault="00E3185D" w:rsidP="00E3185D">
            <w:pPr>
              <w:rPr>
                <w:i/>
              </w:rPr>
            </w:pPr>
          </w:p>
          <w:p w:rsidR="00E3185D" w:rsidRDefault="00E3185D" w:rsidP="00E3185D">
            <w:pPr>
              <w:rPr>
                <w:i/>
              </w:rPr>
            </w:pPr>
            <w:r>
              <w:rPr>
                <w:i/>
              </w:rPr>
              <w:t xml:space="preserve">We would like to see the process changed so that the presence of the Office 365 mailbox is established before the communication to students is issued. </w:t>
            </w:r>
          </w:p>
          <w:p w:rsidR="00BE3EFE" w:rsidRDefault="00BE3EFE" w:rsidP="00DA1186">
            <w:pPr>
              <w:rPr>
                <w:i/>
              </w:rPr>
            </w:pPr>
          </w:p>
          <w:p w:rsidR="00BE3EFE" w:rsidRDefault="00BE3EFE" w:rsidP="00DA1186">
            <w:pPr>
              <w:rPr>
                <w:i/>
              </w:rPr>
            </w:pPr>
          </w:p>
          <w:p w:rsidR="00BE3EFE" w:rsidRDefault="00BE3EFE" w:rsidP="00DA1186">
            <w:pPr>
              <w:rPr>
                <w:i/>
              </w:rPr>
            </w:pPr>
          </w:p>
          <w:p w:rsidR="00BE3EFE" w:rsidRDefault="00BE3EFE" w:rsidP="00DA1186">
            <w:pPr>
              <w:rPr>
                <w:i/>
              </w:rPr>
            </w:pPr>
          </w:p>
          <w:p w:rsidR="00BE3EFE" w:rsidRDefault="00BE3EFE" w:rsidP="00DA1186">
            <w:pPr>
              <w:rPr>
                <w:i/>
              </w:rPr>
            </w:pPr>
          </w:p>
          <w:p w:rsidR="00BE3EFE" w:rsidRPr="00044CE5" w:rsidRDefault="00BE3EFE" w:rsidP="00DA1186">
            <w:pPr>
              <w:rPr>
                <w:i/>
              </w:rPr>
            </w:pPr>
          </w:p>
        </w:tc>
      </w:tr>
      <w:tr w:rsidR="00DE0845" w:rsidRPr="00097D93" w:rsidTr="000C3623">
        <w:tc>
          <w:tcPr>
            <w:tcW w:w="2093" w:type="dxa"/>
            <w:shd w:val="clear" w:color="auto" w:fill="D9D9D9" w:themeFill="background1" w:themeFillShade="D9"/>
          </w:tcPr>
          <w:p w:rsidR="00DE0845" w:rsidRDefault="00DE0845" w:rsidP="0097066C">
            <w:pPr>
              <w:rPr>
                <w:sz w:val="24"/>
                <w:szCs w:val="24"/>
              </w:rPr>
            </w:pPr>
            <w:r>
              <w:rPr>
                <w:sz w:val="24"/>
                <w:szCs w:val="24"/>
              </w:rPr>
              <w:t>When is it needed</w:t>
            </w:r>
          </w:p>
        </w:tc>
        <w:tc>
          <w:tcPr>
            <w:tcW w:w="8505" w:type="dxa"/>
            <w:gridSpan w:val="4"/>
          </w:tcPr>
          <w:p w:rsidR="00DE0845" w:rsidRDefault="00CE00C6" w:rsidP="00C26119">
            <w:pPr>
              <w:rPr>
                <w:i/>
              </w:rPr>
            </w:pPr>
            <w:r>
              <w:rPr>
                <w:i/>
              </w:rPr>
              <w:t xml:space="preserve">Start Year: 2014/15 </w:t>
            </w:r>
          </w:p>
          <w:p w:rsidR="00DE0845" w:rsidRDefault="00DE0845" w:rsidP="00C26119">
            <w:pPr>
              <w:rPr>
                <w:i/>
              </w:rPr>
            </w:pPr>
            <w:r>
              <w:rPr>
                <w:i/>
              </w:rPr>
              <w:t xml:space="preserve">Duration (No. of Years): </w:t>
            </w:r>
            <w:r w:rsidR="00CE00C6">
              <w:rPr>
                <w:i/>
              </w:rPr>
              <w:t>1</w:t>
            </w:r>
          </w:p>
          <w:p w:rsidR="00DE0845" w:rsidRPr="00044CE5" w:rsidRDefault="00DE0845" w:rsidP="00C26119">
            <w:pPr>
              <w:rPr>
                <w:i/>
              </w:rPr>
            </w:pPr>
          </w:p>
        </w:tc>
      </w:tr>
      <w:tr w:rsidR="002045FB" w:rsidRPr="00097D93" w:rsidTr="004E5ABA">
        <w:tc>
          <w:tcPr>
            <w:tcW w:w="2093" w:type="dxa"/>
            <w:shd w:val="clear" w:color="auto" w:fill="D9D9D9" w:themeFill="background1" w:themeFillShade="D9"/>
          </w:tcPr>
          <w:p w:rsidR="002045FB" w:rsidRDefault="002045FB" w:rsidP="004E5ABA">
            <w:pPr>
              <w:rPr>
                <w:sz w:val="24"/>
                <w:szCs w:val="24"/>
              </w:rPr>
            </w:pPr>
            <w:r w:rsidRPr="00BB165D">
              <w:rPr>
                <w:sz w:val="24"/>
                <w:szCs w:val="24"/>
              </w:rPr>
              <w:t>Type of work</w:t>
            </w:r>
            <w:r>
              <w:rPr>
                <w:sz w:val="24"/>
                <w:szCs w:val="24"/>
              </w:rPr>
              <w:t xml:space="preserve"> </w:t>
            </w:r>
          </w:p>
        </w:tc>
        <w:tc>
          <w:tcPr>
            <w:tcW w:w="2977" w:type="dxa"/>
          </w:tcPr>
          <w:p w:rsidR="002045FB" w:rsidRPr="008B5CEE" w:rsidRDefault="002045FB" w:rsidP="004E5ABA">
            <w:pPr>
              <w:rPr>
                <w:i/>
              </w:rPr>
            </w:pPr>
            <w:r w:rsidRPr="00BB165D">
              <w:rPr>
                <w:i/>
              </w:rPr>
              <w:t>Discretionary</w:t>
            </w:r>
          </w:p>
        </w:tc>
        <w:tc>
          <w:tcPr>
            <w:tcW w:w="1842" w:type="dxa"/>
            <w:shd w:val="clear" w:color="auto" w:fill="D9D9D9" w:themeFill="background1" w:themeFillShade="D9"/>
          </w:tcPr>
          <w:p w:rsidR="002045FB" w:rsidRPr="005D0AFD" w:rsidRDefault="002045FB" w:rsidP="004E5ABA">
            <w:pPr>
              <w:rPr>
                <w:sz w:val="24"/>
                <w:szCs w:val="24"/>
              </w:rPr>
            </w:pPr>
            <w:r>
              <w:rPr>
                <w:sz w:val="24"/>
                <w:szCs w:val="24"/>
              </w:rPr>
              <w:t>Funding Source</w:t>
            </w:r>
          </w:p>
        </w:tc>
        <w:tc>
          <w:tcPr>
            <w:tcW w:w="3686" w:type="dxa"/>
            <w:gridSpan w:val="2"/>
          </w:tcPr>
          <w:p w:rsidR="002045FB" w:rsidRPr="008B5CEE" w:rsidRDefault="00CE00C6" w:rsidP="004E5ABA">
            <w:pPr>
              <w:rPr>
                <w:i/>
              </w:rPr>
            </w:pPr>
            <w:r>
              <w:rPr>
                <w:i/>
              </w:rPr>
              <w:t xml:space="preserve">Core Grant </w:t>
            </w:r>
          </w:p>
        </w:tc>
      </w:tr>
      <w:tr w:rsidR="002045FB" w:rsidRPr="00097D93" w:rsidTr="002045FB">
        <w:tc>
          <w:tcPr>
            <w:tcW w:w="2093" w:type="dxa"/>
            <w:shd w:val="clear" w:color="auto" w:fill="D9D9D9" w:themeFill="background1" w:themeFillShade="D9"/>
          </w:tcPr>
          <w:p w:rsidR="002045FB" w:rsidRDefault="002045FB" w:rsidP="004E5ABA">
            <w:pPr>
              <w:rPr>
                <w:sz w:val="24"/>
                <w:szCs w:val="24"/>
              </w:rPr>
            </w:pPr>
            <w:r>
              <w:rPr>
                <w:sz w:val="24"/>
                <w:szCs w:val="24"/>
              </w:rPr>
              <w:t xml:space="preserve">*Compliance Justification </w:t>
            </w:r>
          </w:p>
        </w:tc>
        <w:tc>
          <w:tcPr>
            <w:tcW w:w="2977" w:type="dxa"/>
          </w:tcPr>
          <w:p w:rsidR="001D76CC" w:rsidRDefault="001D76CC" w:rsidP="001D76CC">
            <w:pPr>
              <w:rPr>
                <w:i/>
              </w:rPr>
            </w:pPr>
          </w:p>
          <w:p w:rsidR="001D76CC" w:rsidRPr="008B5CEE" w:rsidRDefault="001D76CC" w:rsidP="001D76CC">
            <w:pPr>
              <w:rPr>
                <w:i/>
              </w:rPr>
            </w:pPr>
          </w:p>
        </w:tc>
        <w:tc>
          <w:tcPr>
            <w:tcW w:w="1842" w:type="dxa"/>
          </w:tcPr>
          <w:p w:rsidR="002045FB" w:rsidRDefault="002045FB" w:rsidP="002045FB">
            <w:pPr>
              <w:rPr>
                <w:sz w:val="24"/>
                <w:szCs w:val="24"/>
              </w:rPr>
            </w:pPr>
            <w:r>
              <w:rPr>
                <w:sz w:val="24"/>
                <w:szCs w:val="24"/>
              </w:rPr>
              <w:t>Proposal Type</w:t>
            </w:r>
          </w:p>
          <w:p w:rsidR="002045FB" w:rsidRPr="008B5CEE" w:rsidRDefault="002045FB" w:rsidP="004E5ABA">
            <w:pPr>
              <w:rPr>
                <w:i/>
              </w:rPr>
            </w:pPr>
          </w:p>
        </w:tc>
        <w:tc>
          <w:tcPr>
            <w:tcW w:w="3686" w:type="dxa"/>
            <w:gridSpan w:val="2"/>
          </w:tcPr>
          <w:p w:rsidR="002045FB" w:rsidRPr="008B5CEE" w:rsidRDefault="00CE00C6" w:rsidP="004E5ABA">
            <w:pPr>
              <w:rPr>
                <w:i/>
              </w:rPr>
            </w:pPr>
            <w:r>
              <w:rPr>
                <w:i/>
              </w:rPr>
              <w:t xml:space="preserve">New </w:t>
            </w:r>
          </w:p>
        </w:tc>
      </w:tr>
    </w:tbl>
    <w:p w:rsidR="002045FB" w:rsidRDefault="002045FB"/>
    <w:p w:rsidR="00BE3EFE" w:rsidRDefault="00BE3EFE">
      <w:pPr>
        <w:rPr>
          <w:rFonts w:asciiTheme="majorHAnsi" w:eastAsiaTheme="majorEastAsia" w:hAnsiTheme="majorHAnsi" w:cstheme="majorBidi"/>
          <w:b/>
          <w:bCs/>
          <w:color w:val="4F81BD" w:themeColor="accent1"/>
          <w:sz w:val="26"/>
          <w:szCs w:val="26"/>
        </w:rPr>
      </w:pPr>
      <w:r>
        <w:br w:type="page"/>
      </w:r>
    </w:p>
    <w:p w:rsidR="002045FB" w:rsidRPr="009F3B26" w:rsidRDefault="002045FB" w:rsidP="002045FB">
      <w:pPr>
        <w:pStyle w:val="Heading2"/>
      </w:pPr>
      <w:r>
        <w:lastRenderedPageBreak/>
        <w:t>Estimation</w:t>
      </w:r>
    </w:p>
    <w:tbl>
      <w:tblPr>
        <w:tblStyle w:val="TableGrid"/>
        <w:tblW w:w="0" w:type="auto"/>
        <w:tblLook w:val="04A0" w:firstRow="1" w:lastRow="0" w:firstColumn="1" w:lastColumn="0" w:noHBand="0" w:noVBand="1"/>
      </w:tblPr>
      <w:tblGrid>
        <w:gridCol w:w="1935"/>
        <w:gridCol w:w="1059"/>
        <w:gridCol w:w="3388"/>
        <w:gridCol w:w="4300"/>
      </w:tblGrid>
      <w:tr w:rsidR="002045FB" w:rsidRPr="00097D93" w:rsidTr="00BE3EFE">
        <w:trPr>
          <w:trHeight w:val="597"/>
        </w:trPr>
        <w:tc>
          <w:tcPr>
            <w:tcW w:w="1935" w:type="dxa"/>
            <w:vMerge w:val="restart"/>
            <w:shd w:val="clear" w:color="auto" w:fill="D9D9D9" w:themeFill="background1" w:themeFillShade="D9"/>
          </w:tcPr>
          <w:p w:rsidR="002045FB" w:rsidRPr="005D0AFD" w:rsidRDefault="002045FB" w:rsidP="00C26119">
            <w:pPr>
              <w:rPr>
                <w:sz w:val="24"/>
                <w:szCs w:val="24"/>
              </w:rPr>
            </w:pPr>
            <w:r w:rsidRPr="005D0AFD">
              <w:rPr>
                <w:sz w:val="24"/>
                <w:szCs w:val="24"/>
              </w:rPr>
              <w:t xml:space="preserve">Estimation Type </w:t>
            </w:r>
          </w:p>
          <w:p w:rsidR="002045FB" w:rsidRPr="005D0AFD" w:rsidRDefault="002045FB" w:rsidP="00044CE5">
            <w:pPr>
              <w:rPr>
                <w:i/>
                <w:sz w:val="24"/>
                <w:szCs w:val="24"/>
              </w:rPr>
            </w:pPr>
          </w:p>
          <w:p w:rsidR="002045FB" w:rsidRPr="005D0AFD" w:rsidRDefault="002045FB" w:rsidP="00044CE5">
            <w:pPr>
              <w:rPr>
                <w:sz w:val="24"/>
                <w:szCs w:val="24"/>
              </w:rPr>
            </w:pPr>
          </w:p>
        </w:tc>
        <w:tc>
          <w:tcPr>
            <w:tcW w:w="4447" w:type="dxa"/>
            <w:gridSpan w:val="2"/>
          </w:tcPr>
          <w:p w:rsidR="002045FB" w:rsidRDefault="002045FB" w:rsidP="00044CE5">
            <w:pPr>
              <w:rPr>
                <w:i/>
              </w:rPr>
            </w:pPr>
            <w:r w:rsidRPr="00044CE5">
              <w:rPr>
                <w:i/>
              </w:rPr>
              <w:t xml:space="preserve">Software </w:t>
            </w:r>
            <w:r>
              <w:rPr>
                <w:i/>
              </w:rPr>
              <w:t>Development</w:t>
            </w:r>
          </w:p>
        </w:tc>
        <w:tc>
          <w:tcPr>
            <w:tcW w:w="4300" w:type="dxa"/>
          </w:tcPr>
          <w:p w:rsidR="002045FB" w:rsidRPr="008B5CEE" w:rsidRDefault="00CE00C6" w:rsidP="00044CE5">
            <w:pPr>
              <w:rPr>
                <w:i/>
              </w:rPr>
            </w:pPr>
            <w:r>
              <w:rPr>
                <w:i/>
              </w:rPr>
              <w:t>Y</w:t>
            </w:r>
          </w:p>
        </w:tc>
      </w:tr>
      <w:tr w:rsidR="002045FB" w:rsidRPr="00097D93" w:rsidTr="00BE3EFE">
        <w:trPr>
          <w:trHeight w:val="597"/>
        </w:trPr>
        <w:tc>
          <w:tcPr>
            <w:tcW w:w="1935" w:type="dxa"/>
            <w:vMerge/>
            <w:shd w:val="clear" w:color="auto" w:fill="D9D9D9" w:themeFill="background1" w:themeFillShade="D9"/>
          </w:tcPr>
          <w:p w:rsidR="002045FB" w:rsidRPr="005D0AFD" w:rsidRDefault="002045FB" w:rsidP="00C26119">
            <w:pPr>
              <w:rPr>
                <w:sz w:val="24"/>
                <w:szCs w:val="24"/>
              </w:rPr>
            </w:pPr>
          </w:p>
        </w:tc>
        <w:tc>
          <w:tcPr>
            <w:tcW w:w="4447" w:type="dxa"/>
            <w:gridSpan w:val="2"/>
          </w:tcPr>
          <w:p w:rsidR="002045FB" w:rsidRPr="00044CE5" w:rsidRDefault="002045FB" w:rsidP="00044CE5">
            <w:pPr>
              <w:rPr>
                <w:i/>
              </w:rPr>
            </w:pPr>
            <w:r>
              <w:rPr>
                <w:i/>
              </w:rPr>
              <w:t>Software Configuration e.g. SITS</w:t>
            </w:r>
          </w:p>
        </w:tc>
        <w:tc>
          <w:tcPr>
            <w:tcW w:w="4300" w:type="dxa"/>
          </w:tcPr>
          <w:p w:rsidR="002045FB" w:rsidRPr="008B5CEE" w:rsidRDefault="002045FB" w:rsidP="00044CE5">
            <w:pPr>
              <w:rPr>
                <w:i/>
              </w:rPr>
            </w:pPr>
          </w:p>
        </w:tc>
      </w:tr>
      <w:tr w:rsidR="002045FB" w:rsidRPr="00097D93" w:rsidTr="00BE3EFE">
        <w:trPr>
          <w:trHeight w:val="597"/>
        </w:trPr>
        <w:tc>
          <w:tcPr>
            <w:tcW w:w="1935" w:type="dxa"/>
            <w:vMerge/>
            <w:shd w:val="clear" w:color="auto" w:fill="D9D9D9" w:themeFill="background1" w:themeFillShade="D9"/>
          </w:tcPr>
          <w:p w:rsidR="002045FB" w:rsidRDefault="002045FB" w:rsidP="00C26119">
            <w:pPr>
              <w:rPr>
                <w:sz w:val="24"/>
                <w:szCs w:val="24"/>
              </w:rPr>
            </w:pPr>
          </w:p>
        </w:tc>
        <w:tc>
          <w:tcPr>
            <w:tcW w:w="4447" w:type="dxa"/>
            <w:gridSpan w:val="2"/>
          </w:tcPr>
          <w:p w:rsidR="002045FB" w:rsidRPr="008B5CEE" w:rsidRDefault="002045FB" w:rsidP="00044CE5">
            <w:pPr>
              <w:rPr>
                <w:i/>
              </w:rPr>
            </w:pPr>
            <w:r w:rsidRPr="00044CE5">
              <w:rPr>
                <w:i/>
              </w:rPr>
              <w:t>Infrastructure Development</w:t>
            </w:r>
          </w:p>
        </w:tc>
        <w:tc>
          <w:tcPr>
            <w:tcW w:w="4300" w:type="dxa"/>
          </w:tcPr>
          <w:p w:rsidR="002045FB" w:rsidRPr="008B5CEE" w:rsidRDefault="002045FB" w:rsidP="00044CE5">
            <w:pPr>
              <w:rPr>
                <w:i/>
              </w:rPr>
            </w:pPr>
          </w:p>
        </w:tc>
      </w:tr>
      <w:tr w:rsidR="002045FB" w:rsidRPr="00097D93" w:rsidTr="00BE3EFE">
        <w:trPr>
          <w:trHeight w:val="597"/>
        </w:trPr>
        <w:tc>
          <w:tcPr>
            <w:tcW w:w="1935" w:type="dxa"/>
            <w:vMerge/>
            <w:shd w:val="clear" w:color="auto" w:fill="D9D9D9" w:themeFill="background1" w:themeFillShade="D9"/>
          </w:tcPr>
          <w:p w:rsidR="002045FB" w:rsidRDefault="002045FB" w:rsidP="00C26119">
            <w:pPr>
              <w:rPr>
                <w:sz w:val="24"/>
                <w:szCs w:val="24"/>
              </w:rPr>
            </w:pPr>
          </w:p>
        </w:tc>
        <w:tc>
          <w:tcPr>
            <w:tcW w:w="4447" w:type="dxa"/>
            <w:gridSpan w:val="2"/>
          </w:tcPr>
          <w:p w:rsidR="002045FB" w:rsidRPr="008B5CEE" w:rsidRDefault="002045FB" w:rsidP="00044CE5">
            <w:pPr>
              <w:rPr>
                <w:i/>
              </w:rPr>
            </w:pPr>
            <w:r w:rsidRPr="00044CE5">
              <w:rPr>
                <w:i/>
              </w:rPr>
              <w:t>Business Case</w:t>
            </w:r>
            <w:r>
              <w:rPr>
                <w:i/>
              </w:rPr>
              <w:t xml:space="preserve"> / Options Appraisal </w:t>
            </w:r>
          </w:p>
        </w:tc>
        <w:tc>
          <w:tcPr>
            <w:tcW w:w="4300" w:type="dxa"/>
          </w:tcPr>
          <w:p w:rsidR="002045FB" w:rsidRPr="008B5CEE" w:rsidRDefault="002045FB" w:rsidP="00044CE5">
            <w:pPr>
              <w:rPr>
                <w:i/>
              </w:rPr>
            </w:pPr>
          </w:p>
        </w:tc>
      </w:tr>
      <w:tr w:rsidR="002045FB" w:rsidRPr="00097D93" w:rsidTr="00BE3EFE">
        <w:trPr>
          <w:trHeight w:val="597"/>
        </w:trPr>
        <w:tc>
          <w:tcPr>
            <w:tcW w:w="1935" w:type="dxa"/>
            <w:vMerge/>
            <w:shd w:val="clear" w:color="auto" w:fill="D9D9D9" w:themeFill="background1" w:themeFillShade="D9"/>
          </w:tcPr>
          <w:p w:rsidR="002045FB" w:rsidRDefault="002045FB" w:rsidP="00C26119">
            <w:pPr>
              <w:rPr>
                <w:sz w:val="24"/>
                <w:szCs w:val="24"/>
              </w:rPr>
            </w:pPr>
          </w:p>
        </w:tc>
        <w:tc>
          <w:tcPr>
            <w:tcW w:w="4447" w:type="dxa"/>
            <w:gridSpan w:val="2"/>
          </w:tcPr>
          <w:p w:rsidR="002045FB" w:rsidRPr="008B5CEE" w:rsidRDefault="002045FB" w:rsidP="00044CE5">
            <w:pPr>
              <w:rPr>
                <w:i/>
              </w:rPr>
            </w:pPr>
            <w:r w:rsidRPr="00044CE5">
              <w:rPr>
                <w:i/>
              </w:rPr>
              <w:t>Procurement</w:t>
            </w:r>
          </w:p>
        </w:tc>
        <w:tc>
          <w:tcPr>
            <w:tcW w:w="4300" w:type="dxa"/>
          </w:tcPr>
          <w:p w:rsidR="002045FB" w:rsidRPr="008B5CEE" w:rsidRDefault="002045FB" w:rsidP="00044CE5">
            <w:pPr>
              <w:rPr>
                <w:i/>
              </w:rPr>
            </w:pPr>
          </w:p>
        </w:tc>
      </w:tr>
      <w:tr w:rsidR="002045FB" w:rsidRPr="00097D93" w:rsidTr="00BE3EFE">
        <w:trPr>
          <w:trHeight w:val="597"/>
        </w:trPr>
        <w:tc>
          <w:tcPr>
            <w:tcW w:w="1935" w:type="dxa"/>
            <w:vMerge/>
            <w:shd w:val="clear" w:color="auto" w:fill="D9D9D9" w:themeFill="background1" w:themeFillShade="D9"/>
          </w:tcPr>
          <w:p w:rsidR="002045FB" w:rsidRDefault="002045FB" w:rsidP="00C26119">
            <w:pPr>
              <w:rPr>
                <w:sz w:val="24"/>
                <w:szCs w:val="24"/>
              </w:rPr>
            </w:pPr>
          </w:p>
        </w:tc>
        <w:tc>
          <w:tcPr>
            <w:tcW w:w="4447" w:type="dxa"/>
            <w:gridSpan w:val="2"/>
          </w:tcPr>
          <w:p w:rsidR="002045FB" w:rsidRDefault="002045FB" w:rsidP="00044CE5">
            <w:pPr>
              <w:rPr>
                <w:i/>
              </w:rPr>
            </w:pPr>
            <w:r w:rsidRPr="00044CE5">
              <w:rPr>
                <w:i/>
              </w:rPr>
              <w:t>Impleme</w:t>
            </w:r>
            <w:r>
              <w:rPr>
                <w:i/>
              </w:rPr>
              <w:t>nt Package Solution</w:t>
            </w:r>
          </w:p>
        </w:tc>
        <w:tc>
          <w:tcPr>
            <w:tcW w:w="4300" w:type="dxa"/>
          </w:tcPr>
          <w:p w:rsidR="002045FB" w:rsidRPr="008B5CEE" w:rsidRDefault="002045FB" w:rsidP="00044CE5">
            <w:pPr>
              <w:rPr>
                <w:i/>
              </w:rPr>
            </w:pPr>
          </w:p>
        </w:tc>
      </w:tr>
      <w:tr w:rsidR="000D528D" w:rsidRPr="00097D93" w:rsidTr="00BE3EFE">
        <w:tc>
          <w:tcPr>
            <w:tcW w:w="1935" w:type="dxa"/>
            <w:shd w:val="clear" w:color="auto" w:fill="D9D9D9" w:themeFill="background1" w:themeFillShade="D9"/>
          </w:tcPr>
          <w:p w:rsidR="000D528D" w:rsidRPr="009F3B26" w:rsidRDefault="000D528D" w:rsidP="00C26119">
            <w:r>
              <w:t>Estimated IS Apps Days</w:t>
            </w:r>
            <w:r w:rsidR="00044CE5">
              <w:t xml:space="preserve"> </w:t>
            </w:r>
            <w:r w:rsidR="00044CE5">
              <w:br/>
              <w:t>(see additional guidance*)</w:t>
            </w:r>
          </w:p>
        </w:tc>
        <w:tc>
          <w:tcPr>
            <w:tcW w:w="1059" w:type="dxa"/>
          </w:tcPr>
          <w:p w:rsidR="000D528D" w:rsidRDefault="00CE00C6" w:rsidP="00C26119">
            <w:pPr>
              <w:rPr>
                <w:i/>
              </w:rPr>
            </w:pPr>
            <w:r>
              <w:rPr>
                <w:i/>
              </w:rPr>
              <w:t>M</w:t>
            </w:r>
          </w:p>
        </w:tc>
        <w:tc>
          <w:tcPr>
            <w:tcW w:w="3388" w:type="dxa"/>
            <w:shd w:val="clear" w:color="auto" w:fill="D9D9D9" w:themeFill="background1" w:themeFillShade="D9"/>
          </w:tcPr>
          <w:p w:rsidR="000D528D" w:rsidRDefault="000D528D" w:rsidP="00C26119">
            <w:pPr>
              <w:rPr>
                <w:sz w:val="24"/>
                <w:szCs w:val="24"/>
              </w:rPr>
            </w:pPr>
            <w:r>
              <w:rPr>
                <w:sz w:val="24"/>
                <w:szCs w:val="24"/>
              </w:rPr>
              <w:t>Estimated Business Partner Days</w:t>
            </w:r>
          </w:p>
        </w:tc>
        <w:tc>
          <w:tcPr>
            <w:tcW w:w="4300" w:type="dxa"/>
          </w:tcPr>
          <w:p w:rsidR="000D528D" w:rsidRDefault="000D528D" w:rsidP="00C26119">
            <w:pPr>
              <w:rPr>
                <w:i/>
              </w:rPr>
            </w:pPr>
          </w:p>
        </w:tc>
      </w:tr>
      <w:tr w:rsidR="00DE0845" w:rsidRPr="00097D93" w:rsidTr="00BE3EFE">
        <w:tc>
          <w:tcPr>
            <w:tcW w:w="1935" w:type="dxa"/>
            <w:shd w:val="clear" w:color="auto" w:fill="D9D9D9" w:themeFill="background1" w:themeFillShade="D9"/>
          </w:tcPr>
          <w:p w:rsidR="00DE0845" w:rsidRDefault="00C82AE0" w:rsidP="00C26119">
            <w:r w:rsidRPr="00C82AE0">
              <w:t>Estimated Service Management Days</w:t>
            </w:r>
          </w:p>
        </w:tc>
        <w:tc>
          <w:tcPr>
            <w:tcW w:w="1059" w:type="dxa"/>
          </w:tcPr>
          <w:p w:rsidR="00DE0845" w:rsidRDefault="00CE00C6" w:rsidP="00C26119">
            <w:pPr>
              <w:rPr>
                <w:i/>
              </w:rPr>
            </w:pPr>
            <w:r>
              <w:rPr>
                <w:i/>
              </w:rPr>
              <w:t>S</w:t>
            </w:r>
          </w:p>
        </w:tc>
        <w:tc>
          <w:tcPr>
            <w:tcW w:w="3388" w:type="dxa"/>
            <w:shd w:val="clear" w:color="auto" w:fill="D9D9D9" w:themeFill="background1" w:themeFillShade="D9"/>
          </w:tcPr>
          <w:p w:rsidR="00DE0845" w:rsidRDefault="00C82AE0" w:rsidP="00C26119">
            <w:pPr>
              <w:rPr>
                <w:sz w:val="24"/>
                <w:szCs w:val="24"/>
              </w:rPr>
            </w:pPr>
            <w:r>
              <w:rPr>
                <w:sz w:val="24"/>
                <w:szCs w:val="24"/>
              </w:rPr>
              <w:t>Impact on other Service area</w:t>
            </w:r>
          </w:p>
        </w:tc>
        <w:tc>
          <w:tcPr>
            <w:tcW w:w="4300" w:type="dxa"/>
          </w:tcPr>
          <w:p w:rsidR="00C82AE0" w:rsidRDefault="00CE00C6" w:rsidP="00C26119">
            <w:pPr>
              <w:rPr>
                <w:i/>
              </w:rPr>
            </w:pPr>
            <w:r>
              <w:rPr>
                <w:i/>
              </w:rPr>
              <w:t>Registry - S</w:t>
            </w:r>
          </w:p>
          <w:p w:rsidR="00C82AE0" w:rsidRDefault="00C82AE0" w:rsidP="00C26119">
            <w:pPr>
              <w:rPr>
                <w:i/>
              </w:rPr>
            </w:pPr>
          </w:p>
          <w:p w:rsidR="000C3623" w:rsidRDefault="000C3623" w:rsidP="00CE00C6">
            <w:pPr>
              <w:rPr>
                <w:i/>
              </w:rPr>
            </w:pPr>
          </w:p>
        </w:tc>
      </w:tr>
      <w:tr w:rsidR="00731723" w:rsidRPr="00097D93" w:rsidTr="00BE3EFE">
        <w:tc>
          <w:tcPr>
            <w:tcW w:w="1935" w:type="dxa"/>
            <w:shd w:val="clear" w:color="auto" w:fill="D9D9D9" w:themeFill="background1" w:themeFillShade="D9"/>
          </w:tcPr>
          <w:p w:rsidR="00731723" w:rsidRDefault="00731723" w:rsidP="00C26119">
            <w:pPr>
              <w:rPr>
                <w:sz w:val="24"/>
                <w:szCs w:val="24"/>
              </w:rPr>
            </w:pPr>
            <w:r>
              <w:rPr>
                <w:sz w:val="24"/>
                <w:szCs w:val="24"/>
              </w:rPr>
              <w:t xml:space="preserve">Estimation Confidence </w:t>
            </w:r>
            <w:r w:rsidR="00792EF2">
              <w:rPr>
                <w:i/>
              </w:rPr>
              <w:t>(delete as required)</w:t>
            </w:r>
          </w:p>
        </w:tc>
        <w:tc>
          <w:tcPr>
            <w:tcW w:w="8747" w:type="dxa"/>
            <w:gridSpan w:val="3"/>
          </w:tcPr>
          <w:p w:rsidR="00731723" w:rsidRDefault="00731723" w:rsidP="00C26119">
            <w:pPr>
              <w:rPr>
                <w:i/>
              </w:rPr>
            </w:pPr>
            <w:bookmarkStart w:id="0" w:name="_GoBack"/>
            <w:r>
              <w:rPr>
                <w:i/>
              </w:rPr>
              <w:t>Not Very Confident (A lot of uncertainties)</w:t>
            </w:r>
          </w:p>
          <w:bookmarkEnd w:id="0"/>
          <w:p w:rsidR="00731723" w:rsidRDefault="00731723" w:rsidP="00CE00C6">
            <w:pPr>
              <w:rPr>
                <w:i/>
              </w:rPr>
            </w:pPr>
          </w:p>
        </w:tc>
      </w:tr>
      <w:tr w:rsidR="009F3B26" w:rsidRPr="00097D93" w:rsidTr="00BE3EFE">
        <w:tc>
          <w:tcPr>
            <w:tcW w:w="1935" w:type="dxa"/>
            <w:shd w:val="clear" w:color="auto" w:fill="D9D9D9" w:themeFill="background1" w:themeFillShade="D9"/>
          </w:tcPr>
          <w:p w:rsidR="009F3B26" w:rsidRDefault="000D528D" w:rsidP="00C26119">
            <w:pPr>
              <w:rPr>
                <w:sz w:val="24"/>
                <w:szCs w:val="24"/>
              </w:rPr>
            </w:pPr>
            <w:r>
              <w:rPr>
                <w:sz w:val="24"/>
                <w:szCs w:val="24"/>
              </w:rPr>
              <w:t>Estimation References</w:t>
            </w:r>
          </w:p>
        </w:tc>
        <w:tc>
          <w:tcPr>
            <w:tcW w:w="8747" w:type="dxa"/>
            <w:gridSpan w:val="3"/>
          </w:tcPr>
          <w:p w:rsidR="009C27AB" w:rsidRPr="009C27AB" w:rsidRDefault="009C27AB" w:rsidP="009C27AB">
            <w:pPr>
              <w:rPr>
                <w:i/>
              </w:rPr>
            </w:pPr>
          </w:p>
        </w:tc>
      </w:tr>
    </w:tbl>
    <w:p w:rsidR="008B5CEE" w:rsidRDefault="008B5CEE"/>
    <w:p w:rsidR="0005231F" w:rsidRPr="00C63351" w:rsidRDefault="001B4393" w:rsidP="000D528D">
      <w:pPr>
        <w:rPr>
          <w:rFonts w:asciiTheme="majorHAnsi" w:hAnsiTheme="majorHAnsi"/>
          <w:b/>
          <w:color w:val="0070C0"/>
          <w:sz w:val="26"/>
          <w:szCs w:val="26"/>
        </w:rPr>
      </w:pPr>
      <w:r w:rsidRPr="00C63351">
        <w:rPr>
          <w:rFonts w:asciiTheme="majorHAnsi" w:hAnsiTheme="majorHAnsi"/>
          <w:b/>
          <w:color w:val="0070C0"/>
          <w:sz w:val="26"/>
          <w:szCs w:val="26"/>
        </w:rPr>
        <w:t>*</w:t>
      </w:r>
      <w:r w:rsidR="0005231F" w:rsidRPr="00C63351">
        <w:rPr>
          <w:rFonts w:asciiTheme="majorHAnsi" w:hAnsiTheme="majorHAnsi"/>
          <w:b/>
          <w:color w:val="0070C0"/>
          <w:sz w:val="26"/>
          <w:szCs w:val="26"/>
        </w:rPr>
        <w:t>Estimation</w:t>
      </w:r>
      <w:r w:rsidR="0076682F" w:rsidRPr="00C63351">
        <w:rPr>
          <w:rFonts w:asciiTheme="majorHAnsi" w:hAnsiTheme="majorHAnsi"/>
          <w:b/>
          <w:color w:val="0070C0"/>
          <w:sz w:val="26"/>
          <w:szCs w:val="26"/>
        </w:rPr>
        <w:t xml:space="preserve"> – Additional Guidance</w:t>
      </w:r>
      <w:r w:rsidR="0005231F" w:rsidRPr="00C63351">
        <w:rPr>
          <w:rFonts w:asciiTheme="majorHAnsi" w:hAnsiTheme="majorHAnsi"/>
          <w:b/>
          <w:color w:val="0070C0"/>
          <w:sz w:val="26"/>
          <w:szCs w:val="26"/>
        </w:rPr>
        <w:t>:</w:t>
      </w:r>
    </w:p>
    <w:p w:rsidR="001B4393" w:rsidRPr="00096F08" w:rsidRDefault="001B4393" w:rsidP="00096F08">
      <w:pPr>
        <w:rPr>
          <w:sz w:val="24"/>
          <w:szCs w:val="24"/>
        </w:rPr>
      </w:pPr>
      <w:r w:rsidRPr="00096F08">
        <w:rPr>
          <w:sz w:val="24"/>
          <w:szCs w:val="24"/>
        </w:rPr>
        <w:t>For 1</w:t>
      </w:r>
      <w:r w:rsidRPr="00096F08">
        <w:rPr>
          <w:sz w:val="24"/>
          <w:szCs w:val="24"/>
          <w:vertAlign w:val="superscript"/>
        </w:rPr>
        <w:t>st</w:t>
      </w:r>
      <w:r w:rsidRPr="00096F08">
        <w:rPr>
          <w:sz w:val="24"/>
          <w:szCs w:val="24"/>
        </w:rPr>
        <w:t xml:space="preserve"> stage/iteration of Red Line, the following</w:t>
      </w:r>
      <w:r w:rsidR="00C63351">
        <w:rPr>
          <w:sz w:val="24"/>
          <w:szCs w:val="24"/>
        </w:rPr>
        <w:t xml:space="preserve"> standard estimation categorisations will be used</w:t>
      </w:r>
      <w:r w:rsidRPr="00096F08">
        <w:rPr>
          <w:sz w:val="24"/>
          <w:szCs w:val="24"/>
        </w:rPr>
        <w:t xml:space="preserve">, </w:t>
      </w:r>
    </w:p>
    <w:p w:rsidR="001B4393" w:rsidRPr="00096F08" w:rsidRDefault="001B4393" w:rsidP="00096F08">
      <w:pPr>
        <w:pStyle w:val="ListParagraph"/>
        <w:numPr>
          <w:ilvl w:val="0"/>
          <w:numId w:val="3"/>
        </w:numPr>
        <w:rPr>
          <w:sz w:val="24"/>
          <w:szCs w:val="24"/>
        </w:rPr>
      </w:pPr>
      <w:r w:rsidRPr="00096F08">
        <w:rPr>
          <w:sz w:val="24"/>
          <w:szCs w:val="24"/>
        </w:rPr>
        <w:t>Small – 50 days</w:t>
      </w:r>
    </w:p>
    <w:p w:rsidR="001B4393" w:rsidRPr="00096F08" w:rsidRDefault="001B4393" w:rsidP="00096F08">
      <w:pPr>
        <w:pStyle w:val="ListParagraph"/>
        <w:numPr>
          <w:ilvl w:val="0"/>
          <w:numId w:val="3"/>
        </w:numPr>
        <w:rPr>
          <w:sz w:val="24"/>
          <w:szCs w:val="24"/>
        </w:rPr>
      </w:pPr>
      <w:r w:rsidRPr="00096F08">
        <w:rPr>
          <w:sz w:val="24"/>
          <w:szCs w:val="24"/>
        </w:rPr>
        <w:t xml:space="preserve">Medium – 120 days </w:t>
      </w:r>
    </w:p>
    <w:p w:rsidR="001B4393" w:rsidRPr="00096F08" w:rsidRDefault="001B4393" w:rsidP="00096F08">
      <w:pPr>
        <w:pStyle w:val="ListParagraph"/>
        <w:numPr>
          <w:ilvl w:val="0"/>
          <w:numId w:val="3"/>
        </w:numPr>
        <w:rPr>
          <w:sz w:val="24"/>
          <w:szCs w:val="24"/>
        </w:rPr>
      </w:pPr>
      <w:r w:rsidRPr="00096F08">
        <w:rPr>
          <w:sz w:val="24"/>
          <w:szCs w:val="24"/>
        </w:rPr>
        <w:t xml:space="preserve">Large – 250 days </w:t>
      </w:r>
    </w:p>
    <w:p w:rsidR="000D528D" w:rsidRDefault="001B4393" w:rsidP="000D528D">
      <w:pPr>
        <w:pStyle w:val="ListParagraph"/>
        <w:numPr>
          <w:ilvl w:val="0"/>
          <w:numId w:val="3"/>
        </w:numPr>
      </w:pPr>
      <w:r w:rsidRPr="00BE3EFE">
        <w:rPr>
          <w:sz w:val="24"/>
          <w:szCs w:val="24"/>
        </w:rPr>
        <w:t xml:space="preserve">Extra Large – 500 days </w:t>
      </w:r>
      <w:r w:rsidR="000D528D">
        <w:tab/>
      </w:r>
      <w:r w:rsidR="000D528D">
        <w:tab/>
      </w:r>
      <w:r w:rsidR="000D528D">
        <w:tab/>
      </w:r>
      <w:r w:rsidR="000D528D">
        <w:tab/>
      </w:r>
      <w:r w:rsidR="000D528D">
        <w:tab/>
      </w:r>
    </w:p>
    <w:p w:rsidR="000D528D" w:rsidRDefault="000D528D" w:rsidP="000D528D">
      <w:r>
        <w:tab/>
      </w:r>
      <w:r>
        <w:tab/>
      </w:r>
      <w:r>
        <w:tab/>
      </w:r>
      <w:r>
        <w:tab/>
      </w:r>
      <w:r>
        <w:tab/>
      </w:r>
    </w:p>
    <w:p w:rsidR="000D528D" w:rsidRDefault="000D528D" w:rsidP="000D528D">
      <w:r>
        <w:tab/>
      </w:r>
      <w:r>
        <w:tab/>
      </w:r>
      <w:r>
        <w:tab/>
      </w:r>
      <w:r>
        <w:tab/>
      </w:r>
      <w:r>
        <w:tab/>
      </w:r>
    </w:p>
    <w:p w:rsidR="008B5CEE" w:rsidRDefault="000D528D" w:rsidP="000D528D">
      <w:r>
        <w:tab/>
      </w:r>
      <w:r>
        <w:tab/>
      </w:r>
      <w:r>
        <w:tab/>
      </w:r>
      <w:r>
        <w:tab/>
      </w:r>
      <w:r>
        <w:tab/>
      </w:r>
    </w:p>
    <w:sectPr w:rsidR="008B5CEE" w:rsidSect="00C82AE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3001"/>
    <w:multiLevelType w:val="hybridMultilevel"/>
    <w:tmpl w:val="80F47F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AD8758C"/>
    <w:multiLevelType w:val="hybridMultilevel"/>
    <w:tmpl w:val="B2F2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F151F3"/>
    <w:multiLevelType w:val="hybridMultilevel"/>
    <w:tmpl w:val="59B293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93"/>
    <w:rsid w:val="00044CE5"/>
    <w:rsid w:val="0005231F"/>
    <w:rsid w:val="00096F08"/>
    <w:rsid w:val="00097D93"/>
    <w:rsid w:val="000A58CD"/>
    <w:rsid w:val="000C3623"/>
    <w:rsid w:val="000D528D"/>
    <w:rsid w:val="00144C94"/>
    <w:rsid w:val="001B4393"/>
    <w:rsid w:val="001C4EB6"/>
    <w:rsid w:val="001D76CC"/>
    <w:rsid w:val="002045FB"/>
    <w:rsid w:val="00270B09"/>
    <w:rsid w:val="002F0A4F"/>
    <w:rsid w:val="005838E1"/>
    <w:rsid w:val="005B0308"/>
    <w:rsid w:val="005D0AFD"/>
    <w:rsid w:val="006C5F92"/>
    <w:rsid w:val="00731723"/>
    <w:rsid w:val="0076682F"/>
    <w:rsid w:val="00792EF2"/>
    <w:rsid w:val="008B5CEE"/>
    <w:rsid w:val="008E4330"/>
    <w:rsid w:val="0097066C"/>
    <w:rsid w:val="00973AD1"/>
    <w:rsid w:val="009C04BA"/>
    <w:rsid w:val="009C27AB"/>
    <w:rsid w:val="009F3B26"/>
    <w:rsid w:val="00A11DD6"/>
    <w:rsid w:val="00A73856"/>
    <w:rsid w:val="00B4303F"/>
    <w:rsid w:val="00B47876"/>
    <w:rsid w:val="00BB165D"/>
    <w:rsid w:val="00BE3EFE"/>
    <w:rsid w:val="00C26119"/>
    <w:rsid w:val="00C63351"/>
    <w:rsid w:val="00C82AE0"/>
    <w:rsid w:val="00CC3574"/>
    <w:rsid w:val="00CE00C6"/>
    <w:rsid w:val="00CF4FEA"/>
    <w:rsid w:val="00DA1186"/>
    <w:rsid w:val="00DB0320"/>
    <w:rsid w:val="00DE0845"/>
    <w:rsid w:val="00E3185D"/>
    <w:rsid w:val="00FB1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5C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5C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B5CE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B5CEE"/>
    <w:rPr>
      <w:rFonts w:asciiTheme="majorHAnsi" w:eastAsiaTheme="majorEastAsia" w:hAnsiTheme="majorHAnsi" w:cstheme="majorBidi"/>
      <w:b/>
      <w:bCs/>
      <w:color w:val="365F91" w:themeColor="accent1" w:themeShade="BF"/>
      <w:sz w:val="28"/>
      <w:szCs w:val="28"/>
    </w:rPr>
  </w:style>
  <w:style w:type="character" w:customStyle="1" w:styleId="style6">
    <w:name w:val="style6"/>
    <w:basedOn w:val="DefaultParagraphFont"/>
    <w:rsid w:val="008B5CEE"/>
  </w:style>
  <w:style w:type="paragraph" w:customStyle="1" w:styleId="style61">
    <w:name w:val="style61"/>
    <w:basedOn w:val="Normal"/>
    <w:rsid w:val="008B5C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D528D"/>
    <w:pPr>
      <w:ind w:left="720"/>
      <w:contextualSpacing/>
    </w:pPr>
  </w:style>
  <w:style w:type="paragraph" w:styleId="BalloonText">
    <w:name w:val="Balloon Text"/>
    <w:basedOn w:val="Normal"/>
    <w:link w:val="BalloonTextChar"/>
    <w:uiPriority w:val="99"/>
    <w:semiHidden/>
    <w:unhideWhenUsed/>
    <w:rsid w:val="00970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6C"/>
    <w:rPr>
      <w:rFonts w:ascii="Tahoma" w:hAnsi="Tahoma" w:cs="Tahoma"/>
      <w:sz w:val="16"/>
      <w:szCs w:val="16"/>
    </w:rPr>
  </w:style>
  <w:style w:type="character" w:styleId="CommentReference">
    <w:name w:val="annotation reference"/>
    <w:basedOn w:val="DefaultParagraphFont"/>
    <w:uiPriority w:val="99"/>
    <w:semiHidden/>
    <w:unhideWhenUsed/>
    <w:rsid w:val="0097066C"/>
    <w:rPr>
      <w:sz w:val="16"/>
      <w:szCs w:val="16"/>
    </w:rPr>
  </w:style>
  <w:style w:type="paragraph" w:styleId="CommentText">
    <w:name w:val="annotation text"/>
    <w:basedOn w:val="Normal"/>
    <w:link w:val="CommentTextChar"/>
    <w:uiPriority w:val="99"/>
    <w:semiHidden/>
    <w:unhideWhenUsed/>
    <w:rsid w:val="0097066C"/>
    <w:pPr>
      <w:spacing w:line="240" w:lineRule="auto"/>
    </w:pPr>
    <w:rPr>
      <w:sz w:val="20"/>
      <w:szCs w:val="20"/>
    </w:rPr>
  </w:style>
  <w:style w:type="character" w:customStyle="1" w:styleId="CommentTextChar">
    <w:name w:val="Comment Text Char"/>
    <w:basedOn w:val="DefaultParagraphFont"/>
    <w:link w:val="CommentText"/>
    <w:uiPriority w:val="99"/>
    <w:semiHidden/>
    <w:rsid w:val="0097066C"/>
    <w:rPr>
      <w:sz w:val="20"/>
      <w:szCs w:val="20"/>
    </w:rPr>
  </w:style>
  <w:style w:type="paragraph" w:styleId="CommentSubject">
    <w:name w:val="annotation subject"/>
    <w:basedOn w:val="CommentText"/>
    <w:next w:val="CommentText"/>
    <w:link w:val="CommentSubjectChar"/>
    <w:uiPriority w:val="99"/>
    <w:semiHidden/>
    <w:unhideWhenUsed/>
    <w:rsid w:val="0097066C"/>
    <w:rPr>
      <w:b/>
      <w:bCs/>
    </w:rPr>
  </w:style>
  <w:style w:type="character" w:customStyle="1" w:styleId="CommentSubjectChar">
    <w:name w:val="Comment Subject Char"/>
    <w:basedOn w:val="CommentTextChar"/>
    <w:link w:val="CommentSubject"/>
    <w:uiPriority w:val="99"/>
    <w:semiHidden/>
    <w:rsid w:val="009706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5C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5C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B5CE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B5CEE"/>
    <w:rPr>
      <w:rFonts w:asciiTheme="majorHAnsi" w:eastAsiaTheme="majorEastAsia" w:hAnsiTheme="majorHAnsi" w:cstheme="majorBidi"/>
      <w:b/>
      <w:bCs/>
      <w:color w:val="365F91" w:themeColor="accent1" w:themeShade="BF"/>
      <w:sz w:val="28"/>
      <w:szCs w:val="28"/>
    </w:rPr>
  </w:style>
  <w:style w:type="character" w:customStyle="1" w:styleId="style6">
    <w:name w:val="style6"/>
    <w:basedOn w:val="DefaultParagraphFont"/>
    <w:rsid w:val="008B5CEE"/>
  </w:style>
  <w:style w:type="paragraph" w:customStyle="1" w:styleId="style61">
    <w:name w:val="style61"/>
    <w:basedOn w:val="Normal"/>
    <w:rsid w:val="008B5C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D528D"/>
    <w:pPr>
      <w:ind w:left="720"/>
      <w:contextualSpacing/>
    </w:pPr>
  </w:style>
  <w:style w:type="paragraph" w:styleId="BalloonText">
    <w:name w:val="Balloon Text"/>
    <w:basedOn w:val="Normal"/>
    <w:link w:val="BalloonTextChar"/>
    <w:uiPriority w:val="99"/>
    <w:semiHidden/>
    <w:unhideWhenUsed/>
    <w:rsid w:val="00970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6C"/>
    <w:rPr>
      <w:rFonts w:ascii="Tahoma" w:hAnsi="Tahoma" w:cs="Tahoma"/>
      <w:sz w:val="16"/>
      <w:szCs w:val="16"/>
    </w:rPr>
  </w:style>
  <w:style w:type="character" w:styleId="CommentReference">
    <w:name w:val="annotation reference"/>
    <w:basedOn w:val="DefaultParagraphFont"/>
    <w:uiPriority w:val="99"/>
    <w:semiHidden/>
    <w:unhideWhenUsed/>
    <w:rsid w:val="0097066C"/>
    <w:rPr>
      <w:sz w:val="16"/>
      <w:szCs w:val="16"/>
    </w:rPr>
  </w:style>
  <w:style w:type="paragraph" w:styleId="CommentText">
    <w:name w:val="annotation text"/>
    <w:basedOn w:val="Normal"/>
    <w:link w:val="CommentTextChar"/>
    <w:uiPriority w:val="99"/>
    <w:semiHidden/>
    <w:unhideWhenUsed/>
    <w:rsid w:val="0097066C"/>
    <w:pPr>
      <w:spacing w:line="240" w:lineRule="auto"/>
    </w:pPr>
    <w:rPr>
      <w:sz w:val="20"/>
      <w:szCs w:val="20"/>
    </w:rPr>
  </w:style>
  <w:style w:type="character" w:customStyle="1" w:styleId="CommentTextChar">
    <w:name w:val="Comment Text Char"/>
    <w:basedOn w:val="DefaultParagraphFont"/>
    <w:link w:val="CommentText"/>
    <w:uiPriority w:val="99"/>
    <w:semiHidden/>
    <w:rsid w:val="0097066C"/>
    <w:rPr>
      <w:sz w:val="20"/>
      <w:szCs w:val="20"/>
    </w:rPr>
  </w:style>
  <w:style w:type="paragraph" w:styleId="CommentSubject">
    <w:name w:val="annotation subject"/>
    <w:basedOn w:val="CommentText"/>
    <w:next w:val="CommentText"/>
    <w:link w:val="CommentSubjectChar"/>
    <w:uiPriority w:val="99"/>
    <w:semiHidden/>
    <w:unhideWhenUsed/>
    <w:rsid w:val="0097066C"/>
    <w:rPr>
      <w:b/>
      <w:bCs/>
    </w:rPr>
  </w:style>
  <w:style w:type="character" w:customStyle="1" w:styleId="CommentSubjectChar">
    <w:name w:val="Comment Subject Char"/>
    <w:basedOn w:val="CommentTextChar"/>
    <w:link w:val="CommentSubject"/>
    <w:uiPriority w:val="99"/>
    <w:semiHidden/>
    <w:rsid w:val="009706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939B3-B415-4503-81E8-C9E24FAA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RITCHIE Mark</dc:creator>
  <cp:lastModifiedBy>FRANCESCHI Maurice</cp:lastModifiedBy>
  <cp:revision>8</cp:revision>
  <cp:lastPrinted>2013-11-14T13:51:00Z</cp:lastPrinted>
  <dcterms:created xsi:type="dcterms:W3CDTF">2013-11-14T15:27:00Z</dcterms:created>
  <dcterms:modified xsi:type="dcterms:W3CDTF">2013-11-29T16:29:00Z</dcterms:modified>
</cp:coreProperties>
</file>