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30" w:rsidRDefault="00097D93" w:rsidP="00C82AE0">
      <w:pPr>
        <w:pStyle w:val="Heading1"/>
        <w:jc w:val="center"/>
      </w:pPr>
      <w:r w:rsidRPr="00097D93">
        <w:t xml:space="preserve">IS Applications </w:t>
      </w:r>
      <w:r w:rsidR="00DE0845">
        <w:t>3 Year Rolling</w:t>
      </w:r>
      <w:r w:rsidR="00DE0845" w:rsidRPr="00097D93">
        <w:t xml:space="preserve"> </w:t>
      </w:r>
      <w:r w:rsidRPr="00097D93">
        <w:t>Planning 201</w:t>
      </w:r>
      <w:r w:rsidR="00DE0845">
        <w:t>4</w:t>
      </w:r>
      <w:r w:rsidRPr="00097D93">
        <w:t>/1</w:t>
      </w:r>
      <w:r w:rsidR="00DE0845">
        <w:t>5 to 2016/17</w:t>
      </w:r>
    </w:p>
    <w:p w:rsidR="009F3B26" w:rsidRPr="009F3B26" w:rsidRDefault="008B5CEE" w:rsidP="009C27AB">
      <w:pPr>
        <w:pStyle w:val="Heading2"/>
      </w:pPr>
      <w:r>
        <w:t>Proposal Suggestion Template</w:t>
      </w:r>
    </w:p>
    <w:tbl>
      <w:tblPr>
        <w:tblStyle w:val="TableGrid"/>
        <w:tblW w:w="0" w:type="auto"/>
        <w:tblLook w:val="04A0" w:firstRow="1" w:lastRow="0" w:firstColumn="1" w:lastColumn="0" w:noHBand="0" w:noVBand="1"/>
      </w:tblPr>
      <w:tblGrid>
        <w:gridCol w:w="2093"/>
        <w:gridCol w:w="2977"/>
        <w:gridCol w:w="1842"/>
        <w:gridCol w:w="1843"/>
        <w:gridCol w:w="1843"/>
      </w:tblGrid>
      <w:tr w:rsidR="000D528D" w:rsidRPr="008B5CEE" w:rsidTr="000C3623">
        <w:tc>
          <w:tcPr>
            <w:tcW w:w="2093" w:type="dxa"/>
            <w:shd w:val="clear" w:color="auto" w:fill="D9D9D9" w:themeFill="background1" w:themeFillShade="D9"/>
          </w:tcPr>
          <w:p w:rsidR="009F3B26" w:rsidRPr="00097D93" w:rsidRDefault="009F3B26" w:rsidP="00C26119">
            <w:pPr>
              <w:rPr>
                <w:sz w:val="24"/>
                <w:szCs w:val="24"/>
              </w:rPr>
            </w:pPr>
            <w:r>
              <w:rPr>
                <w:sz w:val="24"/>
                <w:szCs w:val="24"/>
              </w:rPr>
              <w:t>Programme</w:t>
            </w:r>
          </w:p>
        </w:tc>
        <w:tc>
          <w:tcPr>
            <w:tcW w:w="4819" w:type="dxa"/>
            <w:gridSpan w:val="2"/>
          </w:tcPr>
          <w:p w:rsidR="009F3B26" w:rsidRPr="008B5CEE" w:rsidRDefault="00E92648" w:rsidP="00C26119">
            <w:pPr>
              <w:rPr>
                <w:i/>
              </w:rPr>
            </w:pPr>
            <w:r>
              <w:rPr>
                <w:i/>
              </w:rPr>
              <w:t>Technology Enhanced Learning</w:t>
            </w:r>
          </w:p>
        </w:tc>
        <w:tc>
          <w:tcPr>
            <w:tcW w:w="1843" w:type="dxa"/>
            <w:shd w:val="clear" w:color="auto" w:fill="D9D9D9" w:themeFill="background1" w:themeFillShade="D9"/>
          </w:tcPr>
          <w:p w:rsidR="009F3B26" w:rsidRPr="005D0AFD" w:rsidRDefault="009F3B26" w:rsidP="00C26119">
            <w:pPr>
              <w:rPr>
                <w:sz w:val="24"/>
                <w:szCs w:val="24"/>
              </w:rPr>
            </w:pPr>
            <w:r w:rsidRPr="005D0AFD">
              <w:rPr>
                <w:sz w:val="24"/>
                <w:szCs w:val="24"/>
              </w:rPr>
              <w:t>Programme Priority</w:t>
            </w:r>
          </w:p>
        </w:tc>
        <w:tc>
          <w:tcPr>
            <w:tcW w:w="1843" w:type="dxa"/>
          </w:tcPr>
          <w:p w:rsidR="009F3B26" w:rsidRPr="008B5CEE" w:rsidRDefault="00C049B5" w:rsidP="00C26119">
            <w:pPr>
              <w:rPr>
                <w:i/>
              </w:rPr>
            </w:pPr>
            <w:r>
              <w:rPr>
                <w:i/>
              </w:rPr>
              <w:t>3</w:t>
            </w:r>
            <w:bookmarkStart w:id="0" w:name="_GoBack"/>
            <w:bookmarkEnd w:id="0"/>
          </w:p>
        </w:tc>
      </w:tr>
      <w:tr w:rsidR="001B4393" w:rsidRPr="008B5CEE" w:rsidTr="000C3623">
        <w:tc>
          <w:tcPr>
            <w:tcW w:w="2093" w:type="dxa"/>
            <w:shd w:val="clear" w:color="auto" w:fill="D9D9D9" w:themeFill="background1" w:themeFillShade="D9"/>
          </w:tcPr>
          <w:p w:rsidR="001B4393" w:rsidRDefault="001B4393" w:rsidP="00C26119">
            <w:pPr>
              <w:rPr>
                <w:sz w:val="24"/>
                <w:szCs w:val="24"/>
              </w:rPr>
            </w:pPr>
            <w:r>
              <w:rPr>
                <w:sz w:val="24"/>
                <w:szCs w:val="24"/>
              </w:rPr>
              <w:t>Portfolio</w:t>
            </w:r>
          </w:p>
        </w:tc>
        <w:tc>
          <w:tcPr>
            <w:tcW w:w="4819" w:type="dxa"/>
            <w:gridSpan w:val="2"/>
          </w:tcPr>
          <w:p w:rsidR="001B4393" w:rsidRPr="008B5CEE" w:rsidRDefault="00E92648" w:rsidP="00C26119">
            <w:pPr>
              <w:rPr>
                <w:i/>
              </w:rPr>
            </w:pPr>
            <w:r>
              <w:rPr>
                <w:i/>
              </w:rPr>
              <w:t>ISG</w:t>
            </w:r>
          </w:p>
        </w:tc>
        <w:tc>
          <w:tcPr>
            <w:tcW w:w="1843" w:type="dxa"/>
            <w:shd w:val="clear" w:color="auto" w:fill="D9D9D9" w:themeFill="background1" w:themeFillShade="D9"/>
          </w:tcPr>
          <w:p w:rsidR="001B4393" w:rsidRPr="005D0AFD" w:rsidRDefault="001B4393" w:rsidP="00C26119">
            <w:pPr>
              <w:rPr>
                <w:sz w:val="24"/>
                <w:szCs w:val="24"/>
              </w:rPr>
            </w:pPr>
            <w:r w:rsidRPr="005D0AFD">
              <w:rPr>
                <w:sz w:val="24"/>
                <w:szCs w:val="24"/>
              </w:rPr>
              <w:t>Portfolio Priorit</w:t>
            </w:r>
            <w:r w:rsidR="005D0AFD" w:rsidRPr="005D0AFD">
              <w:rPr>
                <w:sz w:val="24"/>
                <w:szCs w:val="24"/>
              </w:rPr>
              <w:t>y</w:t>
            </w:r>
          </w:p>
        </w:tc>
        <w:tc>
          <w:tcPr>
            <w:tcW w:w="1843" w:type="dxa"/>
          </w:tcPr>
          <w:p w:rsidR="001B4393" w:rsidRPr="008B5CEE" w:rsidRDefault="001B4393" w:rsidP="00C26119">
            <w:pPr>
              <w:rPr>
                <w:i/>
              </w:rPr>
            </w:pPr>
          </w:p>
        </w:tc>
      </w:tr>
      <w:tr w:rsidR="008B5CEE" w:rsidRPr="00097D93" w:rsidTr="000C3623">
        <w:tc>
          <w:tcPr>
            <w:tcW w:w="2093" w:type="dxa"/>
            <w:shd w:val="clear" w:color="auto" w:fill="D9D9D9" w:themeFill="background1" w:themeFillShade="D9"/>
          </w:tcPr>
          <w:p w:rsidR="008B5CEE" w:rsidRPr="00097D93" w:rsidRDefault="009F3B26" w:rsidP="00C26119">
            <w:pPr>
              <w:rPr>
                <w:sz w:val="24"/>
                <w:szCs w:val="24"/>
              </w:rPr>
            </w:pPr>
            <w:r>
              <w:rPr>
                <w:sz w:val="24"/>
                <w:szCs w:val="24"/>
              </w:rPr>
              <w:t>Proposal Name</w:t>
            </w:r>
          </w:p>
        </w:tc>
        <w:tc>
          <w:tcPr>
            <w:tcW w:w="8505" w:type="dxa"/>
            <w:gridSpan w:val="4"/>
          </w:tcPr>
          <w:p w:rsidR="008B5CEE" w:rsidRDefault="00E92648" w:rsidP="00C26119">
            <w:pPr>
              <w:rPr>
                <w:i/>
              </w:rPr>
            </w:pPr>
            <w:r>
              <w:t>Online Assessment</w:t>
            </w:r>
            <w:r w:rsidR="00FB6F88">
              <w:t>/Feedback</w:t>
            </w:r>
            <w:r>
              <w:t xml:space="preserve"> Evaluations</w:t>
            </w:r>
            <w:r w:rsidRPr="008B5CEE">
              <w:rPr>
                <w:i/>
              </w:rPr>
              <w:t xml:space="preserve"> </w:t>
            </w:r>
            <w:r>
              <w:rPr>
                <w:i/>
              </w:rPr>
              <w:t>– Year 1</w:t>
            </w:r>
          </w:p>
          <w:p w:rsidR="00044CE5" w:rsidRPr="008B5CEE" w:rsidRDefault="00044CE5" w:rsidP="00C26119">
            <w:pPr>
              <w:rPr>
                <w:i/>
              </w:rPr>
            </w:pPr>
          </w:p>
        </w:tc>
      </w:tr>
      <w:tr w:rsidR="00E92648" w:rsidRPr="00097D93" w:rsidTr="000C3623">
        <w:tc>
          <w:tcPr>
            <w:tcW w:w="2093" w:type="dxa"/>
            <w:shd w:val="clear" w:color="auto" w:fill="D9D9D9" w:themeFill="background1" w:themeFillShade="D9"/>
          </w:tcPr>
          <w:p w:rsidR="00E92648" w:rsidRDefault="00E92648" w:rsidP="00C26119">
            <w:pPr>
              <w:rPr>
                <w:sz w:val="24"/>
                <w:szCs w:val="24"/>
              </w:rPr>
            </w:pPr>
            <w:r>
              <w:rPr>
                <w:sz w:val="24"/>
                <w:szCs w:val="24"/>
              </w:rPr>
              <w:t>Proposal Sponsor</w:t>
            </w:r>
          </w:p>
        </w:tc>
        <w:tc>
          <w:tcPr>
            <w:tcW w:w="8505" w:type="dxa"/>
            <w:gridSpan w:val="4"/>
          </w:tcPr>
          <w:p w:rsidR="00E92648" w:rsidRDefault="00E92648">
            <w:pPr>
              <w:rPr>
                <w:i/>
              </w:rPr>
            </w:pPr>
          </w:p>
          <w:p w:rsidR="00E92648" w:rsidRDefault="00E92648">
            <w:r>
              <w:t xml:space="preserve">Mark </w:t>
            </w:r>
            <w:proofErr w:type="spellStart"/>
            <w:r>
              <w:t>Wetton</w:t>
            </w:r>
            <w:proofErr w:type="spellEnd"/>
            <w:r>
              <w:t xml:space="preserve"> / Anne-Marie Scott - USD Learning Services, Apps TELS</w:t>
            </w:r>
          </w:p>
        </w:tc>
      </w:tr>
      <w:tr w:rsidR="00E92648" w:rsidRPr="00097D93" w:rsidTr="000C3623">
        <w:tc>
          <w:tcPr>
            <w:tcW w:w="2093" w:type="dxa"/>
            <w:shd w:val="clear" w:color="auto" w:fill="D9D9D9" w:themeFill="background1" w:themeFillShade="D9"/>
          </w:tcPr>
          <w:p w:rsidR="00E92648" w:rsidRDefault="00E92648" w:rsidP="00C26119">
            <w:pPr>
              <w:rPr>
                <w:sz w:val="24"/>
                <w:szCs w:val="24"/>
              </w:rPr>
            </w:pPr>
            <w:r>
              <w:rPr>
                <w:sz w:val="24"/>
                <w:szCs w:val="24"/>
              </w:rPr>
              <w:t>Other Contributors</w:t>
            </w:r>
          </w:p>
        </w:tc>
        <w:tc>
          <w:tcPr>
            <w:tcW w:w="8505" w:type="dxa"/>
            <w:gridSpan w:val="4"/>
          </w:tcPr>
          <w:p w:rsidR="00E92648" w:rsidRDefault="00E92648">
            <w:r>
              <w:t xml:space="preserve">Apps </w:t>
            </w:r>
            <w:proofErr w:type="spellStart"/>
            <w:r>
              <w:t>dev</w:t>
            </w:r>
            <w:proofErr w:type="spellEnd"/>
            <w:r>
              <w:t xml:space="preserve"> team, USD Help Services, SACS</w:t>
            </w:r>
            <w:proofErr w:type="gramStart"/>
            <w:r>
              <w:t>,  Institute</w:t>
            </w:r>
            <w:proofErr w:type="gramEnd"/>
            <w:r>
              <w:t xml:space="preserve"> for Academic </w:t>
            </w:r>
            <w:proofErr w:type="spellStart"/>
            <w:r>
              <w:t>Develoment</w:t>
            </w:r>
            <w:proofErr w:type="spellEnd"/>
            <w:r>
              <w:t>, selected Schools.</w:t>
            </w:r>
          </w:p>
        </w:tc>
      </w:tr>
      <w:tr w:rsidR="00E92648" w:rsidRPr="00097D93" w:rsidTr="000C3623">
        <w:trPr>
          <w:trHeight w:val="988"/>
        </w:trPr>
        <w:tc>
          <w:tcPr>
            <w:tcW w:w="2093" w:type="dxa"/>
            <w:shd w:val="clear" w:color="auto" w:fill="D9D9D9" w:themeFill="background1" w:themeFillShade="D9"/>
          </w:tcPr>
          <w:p w:rsidR="00E92648" w:rsidRDefault="00E92648" w:rsidP="00C26119">
            <w:pPr>
              <w:rPr>
                <w:sz w:val="24"/>
                <w:szCs w:val="24"/>
              </w:rPr>
            </w:pPr>
            <w:r>
              <w:rPr>
                <w:sz w:val="24"/>
                <w:szCs w:val="24"/>
              </w:rPr>
              <w:t>What it is</w:t>
            </w:r>
          </w:p>
        </w:tc>
        <w:tc>
          <w:tcPr>
            <w:tcW w:w="8505" w:type="dxa"/>
            <w:gridSpan w:val="4"/>
          </w:tcPr>
          <w:p w:rsidR="00E92648" w:rsidRDefault="00E92648">
            <w:r>
              <w:t xml:space="preserve">The development of pilot projects exploring the use of technologies </w:t>
            </w:r>
            <w:proofErr w:type="gramStart"/>
            <w:r>
              <w:t>and  functionality</w:t>
            </w:r>
            <w:proofErr w:type="gramEnd"/>
            <w:r>
              <w:t xml:space="preserve"> for innovative assessment and feedback practice. Focus will be on evaluating opportunities and challenges for integration with existing systems, best match with pedagogic requirements, adaptability and scalability. We anticipate that the technologies explored will be a mix of hosted (cloud-based) and installed here.  Schools and courses with a history of innovative approaches to assessment will be identified and invited to develop these pilots. The outcome of each pilot will be a decision either to end the pilot and close the service offering; or to expand the service offering beyond the pilot group. In the case of service expansion this may well need to be taken forward via </w:t>
            </w:r>
            <w:r w:rsidR="00FB6F88">
              <w:t xml:space="preserve">a </w:t>
            </w:r>
            <w:r>
              <w:t>procurement</w:t>
            </w:r>
            <w:r w:rsidR="00FB6F88">
              <w:t>,</w:t>
            </w:r>
            <w:r>
              <w:t xml:space="preserve"> dependant on spend required.</w:t>
            </w:r>
          </w:p>
          <w:p w:rsidR="00E92648" w:rsidRDefault="00E92648"/>
          <w:p w:rsidR="00E92648" w:rsidRDefault="00E92648">
            <w:r>
              <w:t xml:space="preserve">In year 1 we </w:t>
            </w:r>
            <w:r w:rsidR="00FB6F88">
              <w:t xml:space="preserve">have interest from the Colleges already (in particular via the HSS College Undergraduate Learning and Teaching committee) in </w:t>
            </w:r>
            <w:r>
              <w:t xml:space="preserve">the </w:t>
            </w:r>
            <w:proofErr w:type="spellStart"/>
            <w:r>
              <w:t>UQMarkUp</w:t>
            </w:r>
            <w:proofErr w:type="spellEnd"/>
            <w:r>
              <w:t xml:space="preserve"> tool from the University of Queensland</w:t>
            </w:r>
            <w:r w:rsidR="00FB6F88">
              <w:t xml:space="preserve">, Adaptive </w:t>
            </w:r>
            <w:proofErr w:type="spellStart"/>
            <w:r w:rsidR="00FB6F88">
              <w:t>Comparitive</w:t>
            </w:r>
            <w:proofErr w:type="spellEnd"/>
            <w:r w:rsidR="00FB6F88">
              <w:t xml:space="preserve"> Judgement (ACJ) and the Red Pen Tool from TAG Assessment, and </w:t>
            </w:r>
            <w:proofErr w:type="spellStart"/>
            <w:r w:rsidR="00FB6F88">
              <w:t>myKnowledgemap</w:t>
            </w:r>
            <w:proofErr w:type="spellEnd"/>
            <w:r>
              <w:t>.</w:t>
            </w:r>
            <w:r w:rsidR="00FB6F88">
              <w:t xml:space="preserve"> Some of these tools would require a local installation and some work on VLE integration in conjunction with the supplier. We would pick 1 or 2 of these tools and aim to run a pilot for 1 year.</w:t>
            </w:r>
          </w:p>
          <w:p w:rsidR="00E92648" w:rsidRDefault="00E92648">
            <w:pPr>
              <w:rPr>
                <w:i/>
              </w:rPr>
            </w:pPr>
          </w:p>
        </w:tc>
      </w:tr>
      <w:tr w:rsidR="00E92648" w:rsidRPr="00097D93" w:rsidTr="000C3623">
        <w:tc>
          <w:tcPr>
            <w:tcW w:w="2093" w:type="dxa"/>
            <w:shd w:val="clear" w:color="auto" w:fill="D9D9D9" w:themeFill="background1" w:themeFillShade="D9"/>
          </w:tcPr>
          <w:p w:rsidR="00E92648" w:rsidRDefault="00E92648" w:rsidP="0097066C">
            <w:pPr>
              <w:rPr>
                <w:sz w:val="24"/>
                <w:szCs w:val="24"/>
              </w:rPr>
            </w:pPr>
            <w:r>
              <w:rPr>
                <w:sz w:val="24"/>
                <w:szCs w:val="24"/>
              </w:rPr>
              <w:t>Why it is needed / what the benefits are</w:t>
            </w:r>
            <w:r>
              <w:rPr>
                <w:sz w:val="24"/>
                <w:szCs w:val="24"/>
              </w:rPr>
              <w:br/>
            </w:r>
          </w:p>
        </w:tc>
        <w:tc>
          <w:tcPr>
            <w:tcW w:w="8505" w:type="dxa"/>
            <w:gridSpan w:val="4"/>
          </w:tcPr>
          <w:p w:rsidR="00E92648" w:rsidRDefault="00E92648">
            <w:r>
              <w:t xml:space="preserve">The University has identified Enhancing feedback and assessment as a priority area, and is encouraging schools to adopt innovative approaches including programme-level assessment, multimedia portfolios, and evaluation of fieldwork and placements. There are also drivers for improved data management and collation, such as whole-life progression data for students and staff.  </w:t>
            </w:r>
            <w:proofErr w:type="gramStart"/>
            <w:r>
              <w:t>New software products are appearing in this expanding market, and IS</w:t>
            </w:r>
            <w:proofErr w:type="gramEnd"/>
            <w:r>
              <w:t xml:space="preserve"> needs to help the University understand the possibilities for development. This work will build on current evaluations and enquiries being undertaken by Learning Services, SACS, IAD and the Student Experience Project examining different aspects of the assessment </w:t>
            </w:r>
            <w:proofErr w:type="spellStart"/>
            <w:r>
              <w:t>lifecyle</w:t>
            </w:r>
            <w:proofErr w:type="spellEnd"/>
            <w:r>
              <w:t>, pedagogic and management drivers.</w:t>
            </w:r>
          </w:p>
          <w:p w:rsidR="00E92648" w:rsidRDefault="00E92648" w:rsidP="00E92648">
            <w:pPr>
              <w:rPr>
                <w:i/>
              </w:rPr>
            </w:pPr>
            <w:r>
              <w:t>The project will help us to identify key areas of development which will require IS service support not currently available, provide proof-of-concept for data integration between existing, planned and new systems across the institution, and provide a basis for further development of those systems. It will enhance IS ability to anticipate requests from Colleges and Schools for additional support for technology-enhanced assessment and feedback, our understanding of the institutional impact of innovation in this field, and our ability to communicate supported options to academic staff.</w:t>
            </w:r>
          </w:p>
        </w:tc>
      </w:tr>
      <w:tr w:rsidR="00DE0845" w:rsidRPr="00097D93" w:rsidTr="000C3623">
        <w:tc>
          <w:tcPr>
            <w:tcW w:w="2093" w:type="dxa"/>
            <w:shd w:val="clear" w:color="auto" w:fill="D9D9D9" w:themeFill="background1" w:themeFillShade="D9"/>
          </w:tcPr>
          <w:p w:rsidR="00DE0845" w:rsidRDefault="00DE0845" w:rsidP="0097066C">
            <w:pPr>
              <w:rPr>
                <w:sz w:val="24"/>
                <w:szCs w:val="24"/>
              </w:rPr>
            </w:pPr>
            <w:r>
              <w:rPr>
                <w:sz w:val="24"/>
                <w:szCs w:val="24"/>
              </w:rPr>
              <w:t>When is it needed</w:t>
            </w:r>
          </w:p>
        </w:tc>
        <w:tc>
          <w:tcPr>
            <w:tcW w:w="8505" w:type="dxa"/>
            <w:gridSpan w:val="4"/>
          </w:tcPr>
          <w:p w:rsidR="00DE0845" w:rsidRDefault="00DE0845" w:rsidP="00C26119">
            <w:pPr>
              <w:rPr>
                <w:i/>
              </w:rPr>
            </w:pPr>
            <w:r>
              <w:rPr>
                <w:i/>
              </w:rPr>
              <w:t>Start Year: 2014/15</w:t>
            </w:r>
          </w:p>
          <w:p w:rsidR="00DE0845" w:rsidRDefault="00DE0845" w:rsidP="00C26119">
            <w:pPr>
              <w:rPr>
                <w:i/>
              </w:rPr>
            </w:pPr>
            <w:r>
              <w:rPr>
                <w:i/>
              </w:rPr>
              <w:t xml:space="preserve">Duration (No. of Years): </w:t>
            </w:r>
            <w:r w:rsidR="00E92648">
              <w:rPr>
                <w:i/>
              </w:rPr>
              <w:t>1</w:t>
            </w:r>
          </w:p>
          <w:p w:rsidR="00DE0845" w:rsidRPr="00044CE5" w:rsidRDefault="00DE0845" w:rsidP="00C26119">
            <w:pPr>
              <w:rPr>
                <w:i/>
              </w:rPr>
            </w:pPr>
          </w:p>
        </w:tc>
      </w:tr>
      <w:tr w:rsidR="002045FB" w:rsidRPr="00097D93" w:rsidTr="004E5ABA">
        <w:tc>
          <w:tcPr>
            <w:tcW w:w="2093" w:type="dxa"/>
            <w:shd w:val="clear" w:color="auto" w:fill="D9D9D9" w:themeFill="background1" w:themeFillShade="D9"/>
          </w:tcPr>
          <w:p w:rsidR="002045FB" w:rsidRDefault="002045FB" w:rsidP="004E5ABA">
            <w:pPr>
              <w:rPr>
                <w:sz w:val="24"/>
                <w:szCs w:val="24"/>
              </w:rPr>
            </w:pPr>
            <w:r w:rsidRPr="00BB165D">
              <w:rPr>
                <w:sz w:val="24"/>
                <w:szCs w:val="24"/>
              </w:rPr>
              <w:t>Type of work</w:t>
            </w:r>
            <w:r>
              <w:rPr>
                <w:sz w:val="24"/>
                <w:szCs w:val="24"/>
              </w:rPr>
              <w:t xml:space="preserve"> </w:t>
            </w:r>
          </w:p>
        </w:tc>
        <w:tc>
          <w:tcPr>
            <w:tcW w:w="2977" w:type="dxa"/>
          </w:tcPr>
          <w:p w:rsidR="002045FB" w:rsidRPr="008B5CEE" w:rsidRDefault="00FB6F88" w:rsidP="00E92648">
            <w:pPr>
              <w:rPr>
                <w:i/>
              </w:rPr>
            </w:pPr>
            <w:r>
              <w:rPr>
                <w:i/>
              </w:rPr>
              <w:t>Discretionary</w:t>
            </w:r>
          </w:p>
        </w:tc>
        <w:tc>
          <w:tcPr>
            <w:tcW w:w="1842" w:type="dxa"/>
            <w:shd w:val="clear" w:color="auto" w:fill="D9D9D9" w:themeFill="background1" w:themeFillShade="D9"/>
          </w:tcPr>
          <w:p w:rsidR="002045FB" w:rsidRPr="005D0AFD" w:rsidRDefault="002045FB" w:rsidP="004E5ABA">
            <w:pPr>
              <w:rPr>
                <w:sz w:val="24"/>
                <w:szCs w:val="24"/>
              </w:rPr>
            </w:pPr>
            <w:r>
              <w:rPr>
                <w:sz w:val="24"/>
                <w:szCs w:val="24"/>
              </w:rPr>
              <w:t>Funding Source</w:t>
            </w:r>
          </w:p>
        </w:tc>
        <w:tc>
          <w:tcPr>
            <w:tcW w:w="3686" w:type="dxa"/>
            <w:gridSpan w:val="2"/>
          </w:tcPr>
          <w:p w:rsidR="002045FB" w:rsidRPr="008B5CEE" w:rsidRDefault="002045FB" w:rsidP="00E92648">
            <w:pPr>
              <w:rPr>
                <w:i/>
              </w:rPr>
            </w:pPr>
            <w:r w:rsidRPr="00BB165D">
              <w:rPr>
                <w:i/>
              </w:rPr>
              <w:t xml:space="preserve">Core Grant </w:t>
            </w:r>
          </w:p>
        </w:tc>
      </w:tr>
      <w:tr w:rsidR="002045FB" w:rsidRPr="00097D93" w:rsidTr="002045FB">
        <w:tc>
          <w:tcPr>
            <w:tcW w:w="2093" w:type="dxa"/>
            <w:shd w:val="clear" w:color="auto" w:fill="D9D9D9" w:themeFill="background1" w:themeFillShade="D9"/>
          </w:tcPr>
          <w:p w:rsidR="002045FB" w:rsidRDefault="002045FB" w:rsidP="004E5ABA">
            <w:pPr>
              <w:rPr>
                <w:sz w:val="24"/>
                <w:szCs w:val="24"/>
              </w:rPr>
            </w:pPr>
            <w:r>
              <w:rPr>
                <w:sz w:val="24"/>
                <w:szCs w:val="24"/>
              </w:rPr>
              <w:t xml:space="preserve">*Compliance Justification </w:t>
            </w:r>
          </w:p>
        </w:tc>
        <w:tc>
          <w:tcPr>
            <w:tcW w:w="2977" w:type="dxa"/>
          </w:tcPr>
          <w:p w:rsidR="00BE3EFE" w:rsidRPr="008B5CEE" w:rsidRDefault="00FB6F88" w:rsidP="004E5ABA">
            <w:pPr>
              <w:rPr>
                <w:i/>
              </w:rPr>
            </w:pPr>
            <w:r>
              <w:rPr>
                <w:i/>
              </w:rPr>
              <w:t>N/A</w:t>
            </w:r>
          </w:p>
        </w:tc>
        <w:tc>
          <w:tcPr>
            <w:tcW w:w="1842" w:type="dxa"/>
          </w:tcPr>
          <w:p w:rsidR="002045FB" w:rsidRDefault="002045FB" w:rsidP="002045FB">
            <w:pPr>
              <w:rPr>
                <w:sz w:val="24"/>
                <w:szCs w:val="24"/>
              </w:rPr>
            </w:pPr>
            <w:r>
              <w:rPr>
                <w:sz w:val="24"/>
                <w:szCs w:val="24"/>
              </w:rPr>
              <w:t>Proposal Type</w:t>
            </w:r>
          </w:p>
          <w:p w:rsidR="002045FB" w:rsidRPr="008B5CEE" w:rsidRDefault="002045FB" w:rsidP="004E5ABA">
            <w:pPr>
              <w:rPr>
                <w:i/>
              </w:rPr>
            </w:pPr>
          </w:p>
        </w:tc>
        <w:tc>
          <w:tcPr>
            <w:tcW w:w="3686" w:type="dxa"/>
            <w:gridSpan w:val="2"/>
          </w:tcPr>
          <w:p w:rsidR="002045FB" w:rsidRPr="008B5CEE" w:rsidRDefault="002045FB" w:rsidP="00E92648">
            <w:pPr>
              <w:rPr>
                <w:i/>
              </w:rPr>
            </w:pPr>
            <w:r>
              <w:rPr>
                <w:i/>
              </w:rPr>
              <w:t>New</w:t>
            </w:r>
          </w:p>
        </w:tc>
      </w:tr>
    </w:tbl>
    <w:p w:rsidR="002045FB" w:rsidRDefault="002045FB"/>
    <w:p w:rsidR="00BE3EFE" w:rsidRDefault="00BE3EFE">
      <w:pPr>
        <w:rPr>
          <w:rFonts w:asciiTheme="majorHAnsi" w:eastAsiaTheme="majorEastAsia" w:hAnsiTheme="majorHAnsi" w:cstheme="majorBidi"/>
          <w:b/>
          <w:bCs/>
          <w:color w:val="4F81BD" w:themeColor="accent1"/>
          <w:sz w:val="26"/>
          <w:szCs w:val="26"/>
        </w:rPr>
      </w:pPr>
      <w:r>
        <w:br w:type="page"/>
      </w:r>
    </w:p>
    <w:p w:rsidR="002045FB" w:rsidRPr="009F3B26" w:rsidRDefault="002045FB" w:rsidP="002045FB">
      <w:pPr>
        <w:pStyle w:val="Heading2"/>
      </w:pPr>
      <w:r>
        <w:lastRenderedPageBreak/>
        <w:t>Estimation</w:t>
      </w:r>
    </w:p>
    <w:tbl>
      <w:tblPr>
        <w:tblStyle w:val="TableGrid"/>
        <w:tblW w:w="0" w:type="auto"/>
        <w:tblLook w:val="04A0" w:firstRow="1" w:lastRow="0" w:firstColumn="1" w:lastColumn="0" w:noHBand="0" w:noVBand="1"/>
      </w:tblPr>
      <w:tblGrid>
        <w:gridCol w:w="1935"/>
        <w:gridCol w:w="2426"/>
        <w:gridCol w:w="2021"/>
        <w:gridCol w:w="4300"/>
      </w:tblGrid>
      <w:tr w:rsidR="002045FB" w:rsidRPr="00097D93" w:rsidTr="00BE3EFE">
        <w:trPr>
          <w:trHeight w:val="597"/>
        </w:trPr>
        <w:tc>
          <w:tcPr>
            <w:tcW w:w="1935" w:type="dxa"/>
            <w:vMerge w:val="restart"/>
            <w:shd w:val="clear" w:color="auto" w:fill="D9D9D9" w:themeFill="background1" w:themeFillShade="D9"/>
          </w:tcPr>
          <w:p w:rsidR="002045FB" w:rsidRPr="005D0AFD" w:rsidRDefault="002045FB" w:rsidP="00C26119">
            <w:pPr>
              <w:rPr>
                <w:sz w:val="24"/>
                <w:szCs w:val="24"/>
              </w:rPr>
            </w:pPr>
            <w:r w:rsidRPr="005D0AFD">
              <w:rPr>
                <w:sz w:val="24"/>
                <w:szCs w:val="24"/>
              </w:rPr>
              <w:t xml:space="preserve">Estimation Type </w:t>
            </w:r>
          </w:p>
          <w:p w:rsidR="002045FB" w:rsidRPr="005D0AFD" w:rsidRDefault="002045FB" w:rsidP="00044CE5">
            <w:pPr>
              <w:rPr>
                <w:i/>
                <w:sz w:val="24"/>
                <w:szCs w:val="24"/>
              </w:rPr>
            </w:pPr>
          </w:p>
          <w:p w:rsidR="002045FB" w:rsidRPr="005D0AFD" w:rsidRDefault="002045FB" w:rsidP="00044CE5">
            <w:pPr>
              <w:rPr>
                <w:sz w:val="24"/>
                <w:szCs w:val="24"/>
              </w:rPr>
            </w:pPr>
          </w:p>
        </w:tc>
        <w:tc>
          <w:tcPr>
            <w:tcW w:w="4447" w:type="dxa"/>
            <w:gridSpan w:val="2"/>
          </w:tcPr>
          <w:p w:rsidR="002045FB" w:rsidRDefault="002045FB" w:rsidP="00044CE5">
            <w:pPr>
              <w:rPr>
                <w:i/>
              </w:rPr>
            </w:pPr>
            <w:r w:rsidRPr="00044CE5">
              <w:rPr>
                <w:i/>
              </w:rPr>
              <w:t xml:space="preserve">Software </w:t>
            </w:r>
            <w:r>
              <w:rPr>
                <w:i/>
              </w:rPr>
              <w:t>Development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Pr="005D0AFD" w:rsidRDefault="002045FB" w:rsidP="00C26119">
            <w:pPr>
              <w:rPr>
                <w:sz w:val="24"/>
                <w:szCs w:val="24"/>
              </w:rPr>
            </w:pPr>
          </w:p>
        </w:tc>
        <w:tc>
          <w:tcPr>
            <w:tcW w:w="4447" w:type="dxa"/>
            <w:gridSpan w:val="2"/>
          </w:tcPr>
          <w:p w:rsidR="002045FB" w:rsidRPr="00044CE5" w:rsidRDefault="002045FB" w:rsidP="00044CE5">
            <w:pPr>
              <w:rPr>
                <w:i/>
              </w:rPr>
            </w:pPr>
            <w:r>
              <w:rPr>
                <w:i/>
              </w:rPr>
              <w:t>Software Configuration e.g. SITS</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Infrastructure Development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Business Case</w:t>
            </w:r>
            <w:r>
              <w:rPr>
                <w:i/>
              </w:rPr>
              <w:t xml:space="preserve"> / Options Appraisal </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Procurement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Default="002045FB" w:rsidP="00044CE5">
            <w:pPr>
              <w:rPr>
                <w:i/>
              </w:rPr>
            </w:pPr>
            <w:r w:rsidRPr="00044CE5">
              <w:rPr>
                <w:i/>
              </w:rPr>
              <w:t>Impleme</w:t>
            </w:r>
            <w:r>
              <w:rPr>
                <w:i/>
              </w:rPr>
              <w:t>nt Package Solution</w:t>
            </w:r>
          </w:p>
        </w:tc>
        <w:tc>
          <w:tcPr>
            <w:tcW w:w="4300" w:type="dxa"/>
          </w:tcPr>
          <w:p w:rsidR="002045FB" w:rsidRPr="008B5CEE" w:rsidRDefault="00E92648" w:rsidP="00044CE5">
            <w:pPr>
              <w:rPr>
                <w:i/>
              </w:rPr>
            </w:pPr>
            <w:r>
              <w:rPr>
                <w:i/>
              </w:rPr>
              <w:t>X</w:t>
            </w:r>
          </w:p>
        </w:tc>
      </w:tr>
      <w:tr w:rsidR="000D528D" w:rsidRPr="00097D93" w:rsidTr="00E92648">
        <w:tc>
          <w:tcPr>
            <w:tcW w:w="1935" w:type="dxa"/>
            <w:shd w:val="clear" w:color="auto" w:fill="D9D9D9" w:themeFill="background1" w:themeFillShade="D9"/>
          </w:tcPr>
          <w:p w:rsidR="000D528D" w:rsidRPr="009F3B26" w:rsidRDefault="000D528D" w:rsidP="00C26119">
            <w:r>
              <w:t>Estimated IS Apps Days</w:t>
            </w:r>
            <w:r w:rsidR="00044CE5">
              <w:t xml:space="preserve"> </w:t>
            </w:r>
            <w:r w:rsidR="00044CE5">
              <w:br/>
              <w:t>(see additional guidance*)</w:t>
            </w:r>
          </w:p>
        </w:tc>
        <w:tc>
          <w:tcPr>
            <w:tcW w:w="2426" w:type="dxa"/>
          </w:tcPr>
          <w:p w:rsidR="000D528D" w:rsidRDefault="00FB6F88" w:rsidP="00FB6F88">
            <w:pPr>
              <w:rPr>
                <w:i/>
              </w:rPr>
            </w:pPr>
            <w:r>
              <w:rPr>
                <w:i/>
              </w:rPr>
              <w:t>M</w:t>
            </w:r>
            <w:r w:rsidR="00E92648">
              <w:rPr>
                <w:i/>
              </w:rPr>
              <w:t xml:space="preserve"> – </w:t>
            </w:r>
            <w:r>
              <w:rPr>
                <w:i/>
              </w:rPr>
              <w:t>120</w:t>
            </w:r>
            <w:r w:rsidR="00E92648">
              <w:rPr>
                <w:i/>
              </w:rPr>
              <w:t xml:space="preserve"> days</w:t>
            </w:r>
          </w:p>
        </w:tc>
        <w:tc>
          <w:tcPr>
            <w:tcW w:w="2021" w:type="dxa"/>
            <w:shd w:val="clear" w:color="auto" w:fill="D9D9D9" w:themeFill="background1" w:themeFillShade="D9"/>
          </w:tcPr>
          <w:p w:rsidR="000D528D" w:rsidRDefault="000D528D" w:rsidP="00C26119">
            <w:pPr>
              <w:rPr>
                <w:sz w:val="24"/>
                <w:szCs w:val="24"/>
              </w:rPr>
            </w:pPr>
            <w:r>
              <w:rPr>
                <w:sz w:val="24"/>
                <w:szCs w:val="24"/>
              </w:rPr>
              <w:t>Estimated Business Partner Days</w:t>
            </w:r>
          </w:p>
        </w:tc>
        <w:tc>
          <w:tcPr>
            <w:tcW w:w="4300" w:type="dxa"/>
          </w:tcPr>
          <w:p w:rsidR="00E92648" w:rsidRDefault="00FB6F88" w:rsidP="00E92648">
            <w:pPr>
              <w:rPr>
                <w:i/>
              </w:rPr>
            </w:pPr>
            <w:r>
              <w:rPr>
                <w:i/>
              </w:rPr>
              <w:t>M – 120 days</w:t>
            </w:r>
          </w:p>
          <w:p w:rsidR="000D528D" w:rsidRDefault="00E92648" w:rsidP="00E92648">
            <w:pPr>
              <w:rPr>
                <w:i/>
              </w:rPr>
            </w:pPr>
            <w:r>
              <w:rPr>
                <w:i/>
              </w:rPr>
              <w:t>(USD TELS)</w:t>
            </w:r>
          </w:p>
        </w:tc>
      </w:tr>
      <w:tr w:rsidR="00DE0845" w:rsidRPr="00097D93" w:rsidTr="00E92648">
        <w:tc>
          <w:tcPr>
            <w:tcW w:w="1935" w:type="dxa"/>
            <w:shd w:val="clear" w:color="auto" w:fill="D9D9D9" w:themeFill="background1" w:themeFillShade="D9"/>
          </w:tcPr>
          <w:p w:rsidR="00DE0845" w:rsidRDefault="00C82AE0" w:rsidP="00C26119">
            <w:r w:rsidRPr="00C82AE0">
              <w:t>Estimated Service Management Days</w:t>
            </w:r>
          </w:p>
        </w:tc>
        <w:tc>
          <w:tcPr>
            <w:tcW w:w="2426" w:type="dxa"/>
          </w:tcPr>
          <w:p w:rsidR="00DE0845" w:rsidRDefault="00FB6F88" w:rsidP="00C26119">
            <w:pPr>
              <w:rPr>
                <w:i/>
              </w:rPr>
            </w:pPr>
            <w:r>
              <w:rPr>
                <w:i/>
              </w:rPr>
              <w:t>M – 120 days</w:t>
            </w:r>
          </w:p>
          <w:p w:rsidR="00E92648" w:rsidRDefault="00E92648" w:rsidP="00C26119">
            <w:pPr>
              <w:rPr>
                <w:i/>
              </w:rPr>
            </w:pPr>
            <w:r>
              <w:rPr>
                <w:i/>
              </w:rPr>
              <w:t>(APPS TELS)</w:t>
            </w:r>
          </w:p>
        </w:tc>
        <w:tc>
          <w:tcPr>
            <w:tcW w:w="2021" w:type="dxa"/>
            <w:shd w:val="clear" w:color="auto" w:fill="D9D9D9" w:themeFill="background1" w:themeFillShade="D9"/>
          </w:tcPr>
          <w:p w:rsidR="00DE0845" w:rsidRDefault="00C82AE0" w:rsidP="00C26119">
            <w:pPr>
              <w:rPr>
                <w:sz w:val="24"/>
                <w:szCs w:val="24"/>
              </w:rPr>
            </w:pPr>
            <w:r>
              <w:rPr>
                <w:sz w:val="24"/>
                <w:szCs w:val="24"/>
              </w:rPr>
              <w:t>Impact on other Service area</w:t>
            </w:r>
          </w:p>
        </w:tc>
        <w:tc>
          <w:tcPr>
            <w:tcW w:w="4300" w:type="dxa"/>
          </w:tcPr>
          <w:p w:rsidR="00DE0845" w:rsidRDefault="00E92648" w:rsidP="00C26119">
            <w:pPr>
              <w:rPr>
                <w:i/>
              </w:rPr>
            </w:pPr>
            <w:r>
              <w:rPr>
                <w:i/>
              </w:rPr>
              <w:t>None</w:t>
            </w:r>
          </w:p>
          <w:p w:rsidR="000C3623" w:rsidRDefault="000C3623" w:rsidP="00C26119">
            <w:pPr>
              <w:rPr>
                <w:i/>
              </w:rPr>
            </w:pPr>
          </w:p>
        </w:tc>
      </w:tr>
      <w:tr w:rsidR="00731723" w:rsidRPr="00097D93" w:rsidTr="00BE3EFE">
        <w:tc>
          <w:tcPr>
            <w:tcW w:w="1935" w:type="dxa"/>
            <w:shd w:val="clear" w:color="auto" w:fill="D9D9D9" w:themeFill="background1" w:themeFillShade="D9"/>
          </w:tcPr>
          <w:p w:rsidR="00731723" w:rsidRDefault="00731723" w:rsidP="00C26119">
            <w:pPr>
              <w:rPr>
                <w:sz w:val="24"/>
                <w:szCs w:val="24"/>
              </w:rPr>
            </w:pPr>
            <w:r>
              <w:rPr>
                <w:sz w:val="24"/>
                <w:szCs w:val="24"/>
              </w:rPr>
              <w:t xml:space="preserve">Estimation Confidence </w:t>
            </w:r>
            <w:r w:rsidR="00792EF2">
              <w:rPr>
                <w:i/>
              </w:rPr>
              <w:t>(delete as required)</w:t>
            </w:r>
          </w:p>
        </w:tc>
        <w:tc>
          <w:tcPr>
            <w:tcW w:w="8747" w:type="dxa"/>
            <w:gridSpan w:val="3"/>
          </w:tcPr>
          <w:p w:rsidR="00731723" w:rsidRDefault="00731723" w:rsidP="00C26119">
            <w:pPr>
              <w:rPr>
                <w:i/>
              </w:rPr>
            </w:pPr>
            <w:r>
              <w:rPr>
                <w:i/>
              </w:rPr>
              <w:t>Reasonably Confident (Similar to previous work)</w:t>
            </w:r>
          </w:p>
          <w:p w:rsidR="00731723" w:rsidRDefault="00731723" w:rsidP="00E92648">
            <w:pPr>
              <w:rPr>
                <w:i/>
              </w:rPr>
            </w:pPr>
          </w:p>
        </w:tc>
      </w:tr>
      <w:tr w:rsidR="009F3B26" w:rsidRPr="00097D93" w:rsidTr="00BE3EFE">
        <w:tc>
          <w:tcPr>
            <w:tcW w:w="1935" w:type="dxa"/>
            <w:shd w:val="clear" w:color="auto" w:fill="D9D9D9" w:themeFill="background1" w:themeFillShade="D9"/>
          </w:tcPr>
          <w:p w:rsidR="009F3B26" w:rsidRDefault="000D528D" w:rsidP="00C26119">
            <w:pPr>
              <w:rPr>
                <w:sz w:val="24"/>
                <w:szCs w:val="24"/>
              </w:rPr>
            </w:pPr>
            <w:r>
              <w:rPr>
                <w:sz w:val="24"/>
                <w:szCs w:val="24"/>
              </w:rPr>
              <w:t>Estimation References</w:t>
            </w:r>
          </w:p>
        </w:tc>
        <w:tc>
          <w:tcPr>
            <w:tcW w:w="8747" w:type="dxa"/>
            <w:gridSpan w:val="3"/>
          </w:tcPr>
          <w:p w:rsidR="00E92648" w:rsidRDefault="00E92648" w:rsidP="00E92648">
            <w:r>
              <w:t xml:space="preserve">Similar approach taken to </w:t>
            </w:r>
            <w:proofErr w:type="spellStart"/>
            <w:r>
              <w:t>Pebblepad</w:t>
            </w:r>
            <w:proofErr w:type="spellEnd"/>
            <w:r>
              <w:t xml:space="preserve"> several years ago e.g. piloted</w:t>
            </w:r>
            <w:r w:rsidR="00FB6F88">
              <w:t xml:space="preserve"> for 1 year</w:t>
            </w:r>
            <w:r>
              <w:t>, then procure</w:t>
            </w:r>
            <w:r w:rsidR="00FB6F88">
              <w:t>ment and implementation project followed.</w:t>
            </w:r>
          </w:p>
          <w:p w:rsidR="00E92648" w:rsidRDefault="00362799" w:rsidP="00C049B5">
            <w:pPr>
              <w:tabs>
                <w:tab w:val="left" w:pos="6435"/>
              </w:tabs>
            </w:pPr>
            <w:r>
              <w:tab/>
            </w:r>
          </w:p>
          <w:p w:rsidR="00E92648" w:rsidRDefault="00E92648" w:rsidP="00E92648">
            <w:r>
              <w:t>Risks: Working with new technologies and new (start-up) companies?</w:t>
            </w:r>
          </w:p>
          <w:p w:rsidR="009C27AB" w:rsidRPr="009C27AB" w:rsidRDefault="009C27AB" w:rsidP="009C27AB">
            <w:pPr>
              <w:rPr>
                <w:i/>
              </w:rPr>
            </w:pPr>
          </w:p>
        </w:tc>
      </w:tr>
    </w:tbl>
    <w:p w:rsidR="008B5CEE" w:rsidRDefault="008B5CEE"/>
    <w:p w:rsidR="0005231F" w:rsidRPr="00C63351" w:rsidRDefault="001B4393" w:rsidP="000D528D">
      <w:pPr>
        <w:rPr>
          <w:rFonts w:asciiTheme="majorHAnsi" w:hAnsiTheme="majorHAnsi"/>
          <w:b/>
          <w:color w:val="0070C0"/>
          <w:sz w:val="26"/>
          <w:szCs w:val="26"/>
        </w:rPr>
      </w:pPr>
      <w:r w:rsidRPr="00C63351">
        <w:rPr>
          <w:rFonts w:asciiTheme="majorHAnsi" w:hAnsiTheme="majorHAnsi"/>
          <w:b/>
          <w:color w:val="0070C0"/>
          <w:sz w:val="26"/>
          <w:szCs w:val="26"/>
        </w:rPr>
        <w:t>*</w:t>
      </w:r>
      <w:r w:rsidR="0005231F" w:rsidRPr="00C63351">
        <w:rPr>
          <w:rFonts w:asciiTheme="majorHAnsi" w:hAnsiTheme="majorHAnsi"/>
          <w:b/>
          <w:color w:val="0070C0"/>
          <w:sz w:val="26"/>
          <w:szCs w:val="26"/>
        </w:rPr>
        <w:t>Estimation</w:t>
      </w:r>
      <w:r w:rsidR="0076682F" w:rsidRPr="00C63351">
        <w:rPr>
          <w:rFonts w:asciiTheme="majorHAnsi" w:hAnsiTheme="majorHAnsi"/>
          <w:b/>
          <w:color w:val="0070C0"/>
          <w:sz w:val="26"/>
          <w:szCs w:val="26"/>
        </w:rPr>
        <w:t xml:space="preserve"> – Additional Guidance</w:t>
      </w:r>
      <w:r w:rsidR="0005231F" w:rsidRPr="00C63351">
        <w:rPr>
          <w:rFonts w:asciiTheme="majorHAnsi" w:hAnsiTheme="majorHAnsi"/>
          <w:b/>
          <w:color w:val="0070C0"/>
          <w:sz w:val="26"/>
          <w:szCs w:val="26"/>
        </w:rPr>
        <w:t>:</w:t>
      </w:r>
    </w:p>
    <w:p w:rsidR="001B4393" w:rsidRPr="00096F08" w:rsidRDefault="001B4393" w:rsidP="00096F08">
      <w:pPr>
        <w:rPr>
          <w:sz w:val="24"/>
          <w:szCs w:val="24"/>
        </w:rPr>
      </w:pPr>
      <w:r w:rsidRPr="00096F08">
        <w:rPr>
          <w:sz w:val="24"/>
          <w:szCs w:val="24"/>
        </w:rPr>
        <w:t>For 1</w:t>
      </w:r>
      <w:r w:rsidRPr="00096F08">
        <w:rPr>
          <w:sz w:val="24"/>
          <w:szCs w:val="24"/>
          <w:vertAlign w:val="superscript"/>
        </w:rPr>
        <w:t>st</w:t>
      </w:r>
      <w:r w:rsidRPr="00096F08">
        <w:rPr>
          <w:sz w:val="24"/>
          <w:szCs w:val="24"/>
        </w:rPr>
        <w:t xml:space="preserve"> stage/iteration of Red Line, the following</w:t>
      </w:r>
      <w:r w:rsidR="00C63351">
        <w:rPr>
          <w:sz w:val="24"/>
          <w:szCs w:val="24"/>
        </w:rPr>
        <w:t xml:space="preserve"> standard estimation categorisations will be used</w:t>
      </w:r>
      <w:r w:rsidRPr="00096F08">
        <w:rPr>
          <w:sz w:val="24"/>
          <w:szCs w:val="24"/>
        </w:rPr>
        <w:t xml:space="preserve">, </w:t>
      </w:r>
    </w:p>
    <w:p w:rsidR="001B4393" w:rsidRPr="00096F08" w:rsidRDefault="001B4393" w:rsidP="00096F08">
      <w:pPr>
        <w:pStyle w:val="ListParagraph"/>
        <w:numPr>
          <w:ilvl w:val="0"/>
          <w:numId w:val="3"/>
        </w:numPr>
        <w:rPr>
          <w:sz w:val="24"/>
          <w:szCs w:val="24"/>
        </w:rPr>
      </w:pPr>
      <w:r w:rsidRPr="00096F08">
        <w:rPr>
          <w:sz w:val="24"/>
          <w:szCs w:val="24"/>
        </w:rPr>
        <w:t>Small – 50 days</w:t>
      </w:r>
    </w:p>
    <w:p w:rsidR="001B4393" w:rsidRPr="00096F08" w:rsidRDefault="001B4393" w:rsidP="00096F08">
      <w:pPr>
        <w:pStyle w:val="ListParagraph"/>
        <w:numPr>
          <w:ilvl w:val="0"/>
          <w:numId w:val="3"/>
        </w:numPr>
        <w:rPr>
          <w:sz w:val="24"/>
          <w:szCs w:val="24"/>
        </w:rPr>
      </w:pPr>
      <w:r w:rsidRPr="00096F08">
        <w:rPr>
          <w:sz w:val="24"/>
          <w:szCs w:val="24"/>
        </w:rPr>
        <w:t xml:space="preserve">Medium – 120 days </w:t>
      </w:r>
    </w:p>
    <w:p w:rsidR="001B4393" w:rsidRPr="00096F08" w:rsidRDefault="001B4393" w:rsidP="00096F08">
      <w:pPr>
        <w:pStyle w:val="ListParagraph"/>
        <w:numPr>
          <w:ilvl w:val="0"/>
          <w:numId w:val="3"/>
        </w:numPr>
        <w:rPr>
          <w:sz w:val="24"/>
          <w:szCs w:val="24"/>
        </w:rPr>
      </w:pPr>
      <w:r w:rsidRPr="00096F08">
        <w:rPr>
          <w:sz w:val="24"/>
          <w:szCs w:val="24"/>
        </w:rPr>
        <w:t xml:space="preserve">Large – 250 days </w:t>
      </w:r>
    </w:p>
    <w:p w:rsidR="000D528D" w:rsidRDefault="001B4393" w:rsidP="000D528D">
      <w:pPr>
        <w:pStyle w:val="ListParagraph"/>
        <w:numPr>
          <w:ilvl w:val="0"/>
          <w:numId w:val="3"/>
        </w:numPr>
      </w:pPr>
      <w:r w:rsidRPr="00BE3EFE">
        <w:rPr>
          <w:sz w:val="24"/>
          <w:szCs w:val="24"/>
        </w:rPr>
        <w:t xml:space="preserve">Extra Large – 500 days </w:t>
      </w:r>
      <w:r w:rsidR="000D528D">
        <w:tab/>
      </w:r>
      <w:r w:rsidR="000D528D">
        <w:tab/>
      </w:r>
      <w:r w:rsidR="000D528D">
        <w:tab/>
      </w:r>
      <w:r w:rsidR="000D528D">
        <w:tab/>
      </w:r>
      <w:r w:rsidR="000D528D">
        <w:tab/>
      </w:r>
    </w:p>
    <w:p w:rsidR="000D528D" w:rsidRDefault="000D528D" w:rsidP="000D528D">
      <w:r>
        <w:tab/>
      </w:r>
      <w:r>
        <w:tab/>
      </w:r>
      <w:r>
        <w:tab/>
      </w:r>
      <w:r>
        <w:tab/>
      </w:r>
      <w:r>
        <w:tab/>
      </w:r>
    </w:p>
    <w:p w:rsidR="000D528D" w:rsidRDefault="000D528D" w:rsidP="000D528D">
      <w:r>
        <w:tab/>
      </w:r>
      <w:r>
        <w:tab/>
      </w:r>
      <w:r>
        <w:tab/>
      </w:r>
      <w:r>
        <w:tab/>
      </w:r>
      <w:r>
        <w:tab/>
      </w:r>
    </w:p>
    <w:p w:rsidR="008B5CEE" w:rsidRDefault="000D528D" w:rsidP="000D528D">
      <w:r>
        <w:tab/>
      </w:r>
      <w:r>
        <w:tab/>
      </w:r>
      <w:r>
        <w:tab/>
      </w:r>
      <w:r>
        <w:tab/>
      </w:r>
      <w:r>
        <w:tab/>
      </w:r>
    </w:p>
    <w:sectPr w:rsidR="008B5CEE"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93"/>
    <w:rsid w:val="00044CE5"/>
    <w:rsid w:val="0005231F"/>
    <w:rsid w:val="00096F08"/>
    <w:rsid w:val="00097D93"/>
    <w:rsid w:val="000A58CD"/>
    <w:rsid w:val="000C3623"/>
    <w:rsid w:val="000D528D"/>
    <w:rsid w:val="00144C94"/>
    <w:rsid w:val="001B4393"/>
    <w:rsid w:val="002045FB"/>
    <w:rsid w:val="00270B09"/>
    <w:rsid w:val="002F0A4F"/>
    <w:rsid w:val="00362799"/>
    <w:rsid w:val="00444F10"/>
    <w:rsid w:val="005838E1"/>
    <w:rsid w:val="005B0308"/>
    <w:rsid w:val="005D0AFD"/>
    <w:rsid w:val="006C5F92"/>
    <w:rsid w:val="00731723"/>
    <w:rsid w:val="0076682F"/>
    <w:rsid w:val="00792EF2"/>
    <w:rsid w:val="00821FC8"/>
    <w:rsid w:val="008B5CEE"/>
    <w:rsid w:val="008E4330"/>
    <w:rsid w:val="0097066C"/>
    <w:rsid w:val="00973AD1"/>
    <w:rsid w:val="009C04BA"/>
    <w:rsid w:val="009C27AB"/>
    <w:rsid w:val="009F3B26"/>
    <w:rsid w:val="00A11DD6"/>
    <w:rsid w:val="00A73856"/>
    <w:rsid w:val="00B4303F"/>
    <w:rsid w:val="00B47876"/>
    <w:rsid w:val="00BB165D"/>
    <w:rsid w:val="00BE3EFE"/>
    <w:rsid w:val="00C049B5"/>
    <w:rsid w:val="00C26119"/>
    <w:rsid w:val="00C63351"/>
    <w:rsid w:val="00C82AE0"/>
    <w:rsid w:val="00CC3574"/>
    <w:rsid w:val="00CF4FEA"/>
    <w:rsid w:val="00DA1186"/>
    <w:rsid w:val="00DB0320"/>
    <w:rsid w:val="00DE0845"/>
    <w:rsid w:val="00E92648"/>
    <w:rsid w:val="00FB6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16053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2828-21D7-4F2E-A0E4-C10974EC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FRANCESCHI Maurice</cp:lastModifiedBy>
  <cp:revision>6</cp:revision>
  <cp:lastPrinted>2013-11-14T13:51:00Z</cp:lastPrinted>
  <dcterms:created xsi:type="dcterms:W3CDTF">2013-11-22T12:45:00Z</dcterms:created>
  <dcterms:modified xsi:type="dcterms:W3CDTF">2013-11-29T09:41:00Z</dcterms:modified>
</cp:coreProperties>
</file>