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50F836" w14:textId="77777777" w:rsidR="008E4330" w:rsidRDefault="00097D93" w:rsidP="00360E9E">
      <w:pPr>
        <w:pStyle w:val="Heading1"/>
      </w:pPr>
      <w:r w:rsidRPr="00097D93">
        <w:t xml:space="preserve">IS Applications </w:t>
      </w:r>
      <w:r w:rsidR="00DE0845">
        <w:t>3 Year Rolling</w:t>
      </w:r>
      <w:r w:rsidR="00DE0845" w:rsidRPr="00097D93">
        <w:t xml:space="preserve"> </w:t>
      </w:r>
      <w:r w:rsidRPr="00097D93">
        <w:t>Planning 201</w:t>
      </w:r>
      <w:r w:rsidR="00DE0845">
        <w:t>4</w:t>
      </w:r>
      <w:r w:rsidRPr="00097D93">
        <w:t>/1</w:t>
      </w:r>
      <w:r w:rsidR="00DE0845">
        <w:t>5 to 2016/17</w:t>
      </w:r>
    </w:p>
    <w:p w14:paraId="004EFC7F" w14:textId="77777777" w:rsidR="009F3B26" w:rsidRPr="009F3B26" w:rsidRDefault="008B5CEE" w:rsidP="009C27AB">
      <w:pPr>
        <w:pStyle w:val="Heading2"/>
      </w:pPr>
      <w:r>
        <w:t>Proposal Suggestion Template</w:t>
      </w:r>
    </w:p>
    <w:tbl>
      <w:tblPr>
        <w:tblStyle w:val="TableGrid"/>
        <w:tblW w:w="0" w:type="auto"/>
        <w:tblLook w:val="04A0" w:firstRow="1" w:lastRow="0" w:firstColumn="1" w:lastColumn="0" w:noHBand="0" w:noVBand="1"/>
      </w:tblPr>
      <w:tblGrid>
        <w:gridCol w:w="2093"/>
        <w:gridCol w:w="3969"/>
        <w:gridCol w:w="850"/>
        <w:gridCol w:w="284"/>
        <w:gridCol w:w="1559"/>
        <w:gridCol w:w="1843"/>
      </w:tblGrid>
      <w:tr w:rsidR="00360E9E" w:rsidRPr="008B5CEE" w14:paraId="1BB3D684" w14:textId="77777777" w:rsidTr="000C3623">
        <w:tc>
          <w:tcPr>
            <w:tcW w:w="2093" w:type="dxa"/>
            <w:shd w:val="clear" w:color="auto" w:fill="D9D9D9" w:themeFill="background1" w:themeFillShade="D9"/>
          </w:tcPr>
          <w:p w14:paraId="7139558C" w14:textId="77777777" w:rsidR="009F3B26" w:rsidRPr="00097D93" w:rsidRDefault="009F3B26" w:rsidP="00C26119">
            <w:pPr>
              <w:rPr>
                <w:sz w:val="24"/>
                <w:szCs w:val="24"/>
              </w:rPr>
            </w:pPr>
            <w:r>
              <w:rPr>
                <w:sz w:val="24"/>
                <w:szCs w:val="24"/>
              </w:rPr>
              <w:t>Programme</w:t>
            </w:r>
          </w:p>
        </w:tc>
        <w:tc>
          <w:tcPr>
            <w:tcW w:w="4819" w:type="dxa"/>
            <w:gridSpan w:val="2"/>
          </w:tcPr>
          <w:p w14:paraId="3F93CBA7" w14:textId="77777777" w:rsidR="009F3B26" w:rsidRPr="008B5CEE" w:rsidRDefault="00D46EF1" w:rsidP="00C26119">
            <w:pPr>
              <w:rPr>
                <w:i/>
              </w:rPr>
            </w:pPr>
            <w:r>
              <w:rPr>
                <w:i/>
              </w:rPr>
              <w:t>Technology Enhanced Learning</w:t>
            </w:r>
          </w:p>
        </w:tc>
        <w:tc>
          <w:tcPr>
            <w:tcW w:w="1843" w:type="dxa"/>
            <w:gridSpan w:val="2"/>
            <w:shd w:val="clear" w:color="auto" w:fill="D9D9D9" w:themeFill="background1" w:themeFillShade="D9"/>
          </w:tcPr>
          <w:p w14:paraId="23F8AE32" w14:textId="77777777" w:rsidR="009F3B26" w:rsidRPr="005D0AFD" w:rsidRDefault="009F3B26" w:rsidP="00C26119">
            <w:pPr>
              <w:rPr>
                <w:sz w:val="24"/>
                <w:szCs w:val="24"/>
              </w:rPr>
            </w:pPr>
            <w:r w:rsidRPr="005D0AFD">
              <w:rPr>
                <w:sz w:val="24"/>
                <w:szCs w:val="24"/>
              </w:rPr>
              <w:t>Programme Priority</w:t>
            </w:r>
          </w:p>
        </w:tc>
        <w:tc>
          <w:tcPr>
            <w:tcW w:w="1843" w:type="dxa"/>
          </w:tcPr>
          <w:p w14:paraId="163F768E" w14:textId="1C31B79A" w:rsidR="009F3B26" w:rsidRPr="008B5CEE" w:rsidRDefault="00257A0C" w:rsidP="00C26119">
            <w:pPr>
              <w:rPr>
                <w:i/>
              </w:rPr>
            </w:pPr>
            <w:r>
              <w:rPr>
                <w:i/>
              </w:rPr>
              <w:t>C</w:t>
            </w:r>
            <w:bookmarkStart w:id="0" w:name="_GoBack"/>
            <w:bookmarkEnd w:id="0"/>
          </w:p>
        </w:tc>
      </w:tr>
      <w:tr w:rsidR="00360E9E" w:rsidRPr="008B5CEE" w14:paraId="119485BE" w14:textId="77777777" w:rsidTr="000C3623">
        <w:tc>
          <w:tcPr>
            <w:tcW w:w="2093" w:type="dxa"/>
            <w:shd w:val="clear" w:color="auto" w:fill="D9D9D9" w:themeFill="background1" w:themeFillShade="D9"/>
          </w:tcPr>
          <w:p w14:paraId="5D3950E1" w14:textId="77777777" w:rsidR="001B4393" w:rsidRDefault="001B4393" w:rsidP="00C26119">
            <w:pPr>
              <w:rPr>
                <w:sz w:val="24"/>
                <w:szCs w:val="24"/>
              </w:rPr>
            </w:pPr>
            <w:r>
              <w:rPr>
                <w:sz w:val="24"/>
                <w:szCs w:val="24"/>
              </w:rPr>
              <w:t>Portfolio</w:t>
            </w:r>
          </w:p>
        </w:tc>
        <w:tc>
          <w:tcPr>
            <w:tcW w:w="4819" w:type="dxa"/>
            <w:gridSpan w:val="2"/>
          </w:tcPr>
          <w:p w14:paraId="7AE0BA27" w14:textId="77777777" w:rsidR="001B4393" w:rsidRPr="008B5CEE" w:rsidRDefault="00D46EF1" w:rsidP="00C26119">
            <w:pPr>
              <w:rPr>
                <w:i/>
              </w:rPr>
            </w:pPr>
            <w:r>
              <w:rPr>
                <w:i/>
              </w:rPr>
              <w:t>ISG</w:t>
            </w:r>
          </w:p>
        </w:tc>
        <w:tc>
          <w:tcPr>
            <w:tcW w:w="1843" w:type="dxa"/>
            <w:gridSpan w:val="2"/>
            <w:shd w:val="clear" w:color="auto" w:fill="D9D9D9" w:themeFill="background1" w:themeFillShade="D9"/>
          </w:tcPr>
          <w:p w14:paraId="1A525205" w14:textId="77777777" w:rsidR="001B4393" w:rsidRPr="005D0AFD" w:rsidRDefault="001B4393" w:rsidP="00C26119">
            <w:pPr>
              <w:rPr>
                <w:sz w:val="24"/>
                <w:szCs w:val="24"/>
              </w:rPr>
            </w:pPr>
            <w:r w:rsidRPr="005D0AFD">
              <w:rPr>
                <w:sz w:val="24"/>
                <w:szCs w:val="24"/>
              </w:rPr>
              <w:t>Portfolio Priorit</w:t>
            </w:r>
            <w:r w:rsidR="005D0AFD" w:rsidRPr="005D0AFD">
              <w:rPr>
                <w:sz w:val="24"/>
                <w:szCs w:val="24"/>
              </w:rPr>
              <w:t>y</w:t>
            </w:r>
          </w:p>
        </w:tc>
        <w:tc>
          <w:tcPr>
            <w:tcW w:w="1843" w:type="dxa"/>
          </w:tcPr>
          <w:p w14:paraId="63215A5D" w14:textId="77777777" w:rsidR="001B4393" w:rsidRPr="008B5CEE" w:rsidRDefault="001B4393" w:rsidP="00C26119">
            <w:pPr>
              <w:rPr>
                <w:i/>
              </w:rPr>
            </w:pPr>
          </w:p>
        </w:tc>
      </w:tr>
      <w:tr w:rsidR="00360E9E" w:rsidRPr="00097D93" w14:paraId="7B1C2F22" w14:textId="77777777" w:rsidTr="000C3623">
        <w:tc>
          <w:tcPr>
            <w:tcW w:w="2093" w:type="dxa"/>
            <w:shd w:val="clear" w:color="auto" w:fill="D9D9D9" w:themeFill="background1" w:themeFillShade="D9"/>
          </w:tcPr>
          <w:p w14:paraId="09DB8957" w14:textId="77777777" w:rsidR="008B5CEE" w:rsidRPr="00097D93" w:rsidRDefault="009F3B26" w:rsidP="00C26119">
            <w:pPr>
              <w:rPr>
                <w:sz w:val="24"/>
                <w:szCs w:val="24"/>
              </w:rPr>
            </w:pPr>
            <w:r>
              <w:rPr>
                <w:sz w:val="24"/>
                <w:szCs w:val="24"/>
              </w:rPr>
              <w:t>Proposal Name</w:t>
            </w:r>
          </w:p>
        </w:tc>
        <w:tc>
          <w:tcPr>
            <w:tcW w:w="8505" w:type="dxa"/>
            <w:gridSpan w:val="5"/>
          </w:tcPr>
          <w:p w14:paraId="463094BD" w14:textId="10D30A99" w:rsidR="008B5CEE" w:rsidRDefault="006515D8" w:rsidP="00C26119">
            <w:pPr>
              <w:rPr>
                <w:i/>
              </w:rPr>
            </w:pPr>
            <w:r>
              <w:rPr>
                <w:i/>
              </w:rPr>
              <w:t>Moodle Upgrade</w:t>
            </w:r>
          </w:p>
          <w:p w14:paraId="50C6F119" w14:textId="77777777" w:rsidR="00044CE5" w:rsidRPr="008B5CEE" w:rsidRDefault="00044CE5" w:rsidP="00C26119">
            <w:pPr>
              <w:rPr>
                <w:i/>
              </w:rPr>
            </w:pPr>
          </w:p>
        </w:tc>
      </w:tr>
      <w:tr w:rsidR="00360E9E" w:rsidRPr="00097D93" w14:paraId="048D4E7C" w14:textId="77777777" w:rsidTr="000C3623">
        <w:tc>
          <w:tcPr>
            <w:tcW w:w="2093" w:type="dxa"/>
            <w:shd w:val="clear" w:color="auto" w:fill="D9D9D9" w:themeFill="background1" w:themeFillShade="D9"/>
          </w:tcPr>
          <w:p w14:paraId="03493081" w14:textId="77777777" w:rsidR="008B5CEE" w:rsidRDefault="00B4303F" w:rsidP="00C26119">
            <w:pPr>
              <w:rPr>
                <w:sz w:val="24"/>
                <w:szCs w:val="24"/>
              </w:rPr>
            </w:pPr>
            <w:r>
              <w:rPr>
                <w:sz w:val="24"/>
                <w:szCs w:val="24"/>
              </w:rPr>
              <w:t>Proposal Sponsor</w:t>
            </w:r>
          </w:p>
        </w:tc>
        <w:tc>
          <w:tcPr>
            <w:tcW w:w="8505" w:type="dxa"/>
            <w:gridSpan w:val="5"/>
          </w:tcPr>
          <w:p w14:paraId="29D66FCD" w14:textId="77777777" w:rsidR="006515D8" w:rsidRDefault="006515D8" w:rsidP="006515D8">
            <w:pPr>
              <w:rPr>
                <w:i/>
              </w:rPr>
            </w:pPr>
            <w:r>
              <w:rPr>
                <w:i/>
              </w:rPr>
              <w:t xml:space="preserve">Sponsor: Mark </w:t>
            </w:r>
            <w:proofErr w:type="spellStart"/>
            <w:r>
              <w:rPr>
                <w:i/>
              </w:rPr>
              <w:t>Wetton</w:t>
            </w:r>
            <w:proofErr w:type="spellEnd"/>
          </w:p>
          <w:p w14:paraId="228BC206" w14:textId="77777777" w:rsidR="008B5CEE" w:rsidRDefault="006515D8" w:rsidP="006515D8">
            <w:pPr>
              <w:rPr>
                <w:i/>
              </w:rPr>
            </w:pPr>
            <w:r>
              <w:rPr>
                <w:i/>
              </w:rPr>
              <w:t>(User services, Apps TELS, DEI programmes)</w:t>
            </w:r>
          </w:p>
          <w:p w14:paraId="669F33A6" w14:textId="77777777" w:rsidR="000C3623" w:rsidRPr="008B5CEE" w:rsidRDefault="000C3623" w:rsidP="00C26119">
            <w:pPr>
              <w:rPr>
                <w:i/>
              </w:rPr>
            </w:pPr>
          </w:p>
        </w:tc>
      </w:tr>
      <w:tr w:rsidR="00360E9E" w:rsidRPr="00097D93" w14:paraId="77D22095" w14:textId="77777777" w:rsidTr="000C3623">
        <w:tc>
          <w:tcPr>
            <w:tcW w:w="2093" w:type="dxa"/>
            <w:shd w:val="clear" w:color="auto" w:fill="D9D9D9" w:themeFill="background1" w:themeFillShade="D9"/>
          </w:tcPr>
          <w:p w14:paraId="3C08A318" w14:textId="77777777" w:rsidR="009C27AB" w:rsidRDefault="009C27AB" w:rsidP="00C26119">
            <w:pPr>
              <w:rPr>
                <w:sz w:val="24"/>
                <w:szCs w:val="24"/>
              </w:rPr>
            </w:pPr>
            <w:r>
              <w:rPr>
                <w:sz w:val="24"/>
                <w:szCs w:val="24"/>
              </w:rPr>
              <w:t>Other Contributors</w:t>
            </w:r>
          </w:p>
        </w:tc>
        <w:tc>
          <w:tcPr>
            <w:tcW w:w="8505" w:type="dxa"/>
            <w:gridSpan w:val="5"/>
          </w:tcPr>
          <w:p w14:paraId="3265A477" w14:textId="77777777" w:rsidR="009C27AB" w:rsidRDefault="006515D8" w:rsidP="00C26119">
            <w:pPr>
              <w:rPr>
                <w:i/>
              </w:rPr>
            </w:pPr>
            <w:r>
              <w:rPr>
                <w:i/>
              </w:rPr>
              <w:t>Wesley Kerr, Fiona Littleton, Anne-Marie Scott</w:t>
            </w:r>
          </w:p>
          <w:p w14:paraId="00632D6B" w14:textId="77777777" w:rsidR="000C3623" w:rsidRPr="008B5CEE" w:rsidRDefault="000C3623" w:rsidP="00C26119">
            <w:pPr>
              <w:rPr>
                <w:i/>
              </w:rPr>
            </w:pPr>
          </w:p>
        </w:tc>
      </w:tr>
      <w:tr w:rsidR="00360E9E" w:rsidRPr="00097D93" w14:paraId="3B965D82" w14:textId="77777777" w:rsidTr="000C3623">
        <w:trPr>
          <w:trHeight w:val="988"/>
        </w:trPr>
        <w:tc>
          <w:tcPr>
            <w:tcW w:w="2093" w:type="dxa"/>
            <w:shd w:val="clear" w:color="auto" w:fill="D9D9D9" w:themeFill="background1" w:themeFillShade="D9"/>
          </w:tcPr>
          <w:p w14:paraId="5338F59B" w14:textId="77777777" w:rsidR="009F3B26" w:rsidRDefault="0097066C" w:rsidP="00C26119">
            <w:pPr>
              <w:rPr>
                <w:sz w:val="24"/>
                <w:szCs w:val="24"/>
              </w:rPr>
            </w:pPr>
            <w:r>
              <w:rPr>
                <w:sz w:val="24"/>
                <w:szCs w:val="24"/>
              </w:rPr>
              <w:t>What it is</w:t>
            </w:r>
          </w:p>
        </w:tc>
        <w:tc>
          <w:tcPr>
            <w:tcW w:w="8505" w:type="dxa"/>
            <w:gridSpan w:val="5"/>
          </w:tcPr>
          <w:p w14:paraId="6F9A7A4E" w14:textId="77777777" w:rsidR="00360E9E" w:rsidRDefault="006515D8" w:rsidP="006515D8">
            <w:r>
              <w:t xml:space="preserve">Planned </w:t>
            </w:r>
            <w:r w:rsidR="00360E9E">
              <w:t xml:space="preserve">annual </w:t>
            </w:r>
            <w:r>
              <w:t>upgrade of Moodle</w:t>
            </w:r>
            <w:r w:rsidR="00360E9E">
              <w:t xml:space="preserve"> VLE platform.</w:t>
            </w:r>
          </w:p>
          <w:p w14:paraId="2D1BA89D" w14:textId="77777777" w:rsidR="00360E9E" w:rsidRDefault="00360E9E" w:rsidP="006515D8"/>
          <w:p w14:paraId="2AB6A2F5" w14:textId="37F563C2" w:rsidR="009F3B26" w:rsidRPr="008B5CEE" w:rsidRDefault="00360E9E" w:rsidP="00C26119">
            <w:pPr>
              <w:rPr>
                <w:i/>
              </w:rPr>
            </w:pPr>
            <w:r>
              <w:t xml:space="preserve">We should be looking at a yearly upgrade but jumping 2 versions at a time (upgrading in June/July each year).  The exact version each year will be dependent on our plugins and how quickly they can be </w:t>
            </w:r>
            <w:proofErr w:type="gramStart"/>
            <w:r>
              <w:t>tested/redeveloped</w:t>
            </w:r>
            <w:proofErr w:type="gramEnd"/>
            <w:r>
              <w:t xml:space="preserve"> by non-Moodle HQ developers. At present we expect to deploy in July the version that comes out in the December previous.</w:t>
            </w:r>
          </w:p>
        </w:tc>
      </w:tr>
      <w:tr w:rsidR="00360E9E" w:rsidRPr="00097D93" w14:paraId="1DCEB95F" w14:textId="77777777" w:rsidTr="000C3623">
        <w:tc>
          <w:tcPr>
            <w:tcW w:w="2093" w:type="dxa"/>
            <w:shd w:val="clear" w:color="auto" w:fill="D9D9D9" w:themeFill="background1" w:themeFillShade="D9"/>
          </w:tcPr>
          <w:p w14:paraId="128E092A" w14:textId="77777777" w:rsidR="005D0AFD" w:rsidRDefault="0097066C" w:rsidP="0097066C">
            <w:pPr>
              <w:rPr>
                <w:sz w:val="24"/>
                <w:szCs w:val="24"/>
              </w:rPr>
            </w:pPr>
            <w:r>
              <w:rPr>
                <w:sz w:val="24"/>
                <w:szCs w:val="24"/>
              </w:rPr>
              <w:t>Why it is needed</w:t>
            </w:r>
            <w:r w:rsidR="001B4393">
              <w:rPr>
                <w:sz w:val="24"/>
                <w:szCs w:val="24"/>
              </w:rPr>
              <w:t xml:space="preserve"> / what the benefits are</w:t>
            </w:r>
            <w:r>
              <w:rPr>
                <w:sz w:val="24"/>
                <w:szCs w:val="24"/>
              </w:rPr>
              <w:br/>
            </w:r>
          </w:p>
        </w:tc>
        <w:tc>
          <w:tcPr>
            <w:tcW w:w="8505" w:type="dxa"/>
            <w:gridSpan w:val="5"/>
          </w:tcPr>
          <w:p w14:paraId="0745E1BD" w14:textId="3F6A476F" w:rsidR="00360E9E" w:rsidRDefault="00360E9E" w:rsidP="006515D8">
            <w:r>
              <w:t>The Moodle VLE platform is used to deliver online distance based Masters courses across a growing number of Schools and is classified as a High Priority service – with the expectation of 99.9% uptime. A key part of ensuring that the platform reaches the availability target is making sure that we are on a stable and supported version.</w:t>
            </w:r>
          </w:p>
          <w:p w14:paraId="1EF1D3B3" w14:textId="29D2FB06" w:rsidR="00360E9E" w:rsidRDefault="00360E9E" w:rsidP="006515D8">
            <w:r>
              <w:t>Moodle is also open source, and in order that we can take advantage of plugins developed by the Moodle community, we need to stick with the version that the majority of the community are using. To date we have taken around 10 community developed plugins, including the blog and wiki tools from the Open University.</w:t>
            </w:r>
          </w:p>
          <w:p w14:paraId="3648B183" w14:textId="657E7E59" w:rsidR="0097066C" w:rsidRPr="00044CE5" w:rsidRDefault="0097066C" w:rsidP="006515D8">
            <w:pPr>
              <w:rPr>
                <w:i/>
              </w:rPr>
            </w:pPr>
          </w:p>
        </w:tc>
      </w:tr>
      <w:tr w:rsidR="00360E9E" w:rsidRPr="00097D93" w14:paraId="2175D9A7" w14:textId="77777777" w:rsidTr="000C3623">
        <w:tc>
          <w:tcPr>
            <w:tcW w:w="2093" w:type="dxa"/>
            <w:shd w:val="clear" w:color="auto" w:fill="D9D9D9" w:themeFill="background1" w:themeFillShade="D9"/>
          </w:tcPr>
          <w:p w14:paraId="1EAA2FA1" w14:textId="0C8FC4A5" w:rsidR="00DE0845" w:rsidRDefault="00DE0845" w:rsidP="0097066C">
            <w:pPr>
              <w:rPr>
                <w:sz w:val="24"/>
                <w:szCs w:val="24"/>
              </w:rPr>
            </w:pPr>
            <w:r>
              <w:rPr>
                <w:sz w:val="24"/>
                <w:szCs w:val="24"/>
              </w:rPr>
              <w:t>When is it needed</w:t>
            </w:r>
          </w:p>
        </w:tc>
        <w:tc>
          <w:tcPr>
            <w:tcW w:w="8505" w:type="dxa"/>
            <w:gridSpan w:val="5"/>
          </w:tcPr>
          <w:p w14:paraId="01F1FD39" w14:textId="40C217BD" w:rsidR="00DE0845" w:rsidRDefault="00DE0845" w:rsidP="00C26119">
            <w:pPr>
              <w:rPr>
                <w:i/>
              </w:rPr>
            </w:pPr>
            <w:r>
              <w:rPr>
                <w:i/>
              </w:rPr>
              <w:t>Start Year: 2014/15</w:t>
            </w:r>
          </w:p>
          <w:p w14:paraId="3B8C1CFE" w14:textId="772BA842" w:rsidR="00DE0845" w:rsidRDefault="00DE0845" w:rsidP="00C26119">
            <w:pPr>
              <w:rPr>
                <w:i/>
              </w:rPr>
            </w:pPr>
            <w:r>
              <w:rPr>
                <w:i/>
              </w:rPr>
              <w:t xml:space="preserve">Duration (No. of Years): </w:t>
            </w:r>
            <w:r w:rsidR="00360E9E">
              <w:rPr>
                <w:i/>
              </w:rPr>
              <w:t>1</w:t>
            </w:r>
          </w:p>
          <w:p w14:paraId="09411957" w14:textId="77777777" w:rsidR="00DE0845" w:rsidRPr="00044CE5" w:rsidRDefault="00DE0845" w:rsidP="00C26119">
            <w:pPr>
              <w:rPr>
                <w:i/>
              </w:rPr>
            </w:pPr>
          </w:p>
        </w:tc>
      </w:tr>
      <w:tr w:rsidR="00360E9E" w14:paraId="0BB52804" w14:textId="77777777" w:rsidTr="00360E9E">
        <w:tc>
          <w:tcPr>
            <w:tcW w:w="2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24BFA3" w14:textId="77777777" w:rsidR="00360E9E" w:rsidRDefault="00360E9E">
            <w:pPr>
              <w:rPr>
                <w:sz w:val="24"/>
                <w:szCs w:val="24"/>
              </w:rPr>
            </w:pPr>
            <w:r>
              <w:rPr>
                <w:sz w:val="24"/>
                <w:szCs w:val="24"/>
              </w:rPr>
              <w:t xml:space="preserve">Type of work </w:t>
            </w:r>
          </w:p>
        </w:tc>
        <w:tc>
          <w:tcPr>
            <w:tcW w:w="3969" w:type="dxa"/>
            <w:tcBorders>
              <w:top w:val="single" w:sz="4" w:space="0" w:color="auto"/>
              <w:left w:val="single" w:sz="4" w:space="0" w:color="auto"/>
              <w:bottom w:val="single" w:sz="4" w:space="0" w:color="auto"/>
              <w:right w:val="single" w:sz="4" w:space="0" w:color="auto"/>
            </w:tcBorders>
            <w:hideMark/>
          </w:tcPr>
          <w:p w14:paraId="7ED8ADCC" w14:textId="4FE44861" w:rsidR="00360E9E" w:rsidRDefault="00360E9E" w:rsidP="00360E9E">
            <w:pPr>
              <w:rPr>
                <w:i/>
              </w:rPr>
            </w:pPr>
            <w:r>
              <w:rPr>
                <w:i/>
              </w:rPr>
              <w:t>Compliance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90664A" w14:textId="77777777" w:rsidR="00360E9E" w:rsidRDefault="00360E9E">
            <w:pPr>
              <w:rPr>
                <w:sz w:val="24"/>
                <w:szCs w:val="24"/>
              </w:rPr>
            </w:pPr>
            <w:r>
              <w:rPr>
                <w:sz w:val="24"/>
                <w:szCs w:val="24"/>
              </w:rPr>
              <w:t>Funding Source</w:t>
            </w:r>
          </w:p>
        </w:tc>
        <w:tc>
          <w:tcPr>
            <w:tcW w:w="3402" w:type="dxa"/>
            <w:gridSpan w:val="2"/>
            <w:tcBorders>
              <w:top w:val="single" w:sz="4" w:space="0" w:color="auto"/>
              <w:left w:val="single" w:sz="4" w:space="0" w:color="auto"/>
              <w:bottom w:val="single" w:sz="4" w:space="0" w:color="auto"/>
              <w:right w:val="single" w:sz="4" w:space="0" w:color="auto"/>
            </w:tcBorders>
            <w:hideMark/>
          </w:tcPr>
          <w:p w14:paraId="13B11667" w14:textId="621161DD" w:rsidR="00360E9E" w:rsidRDefault="00360E9E" w:rsidP="00360E9E">
            <w:pPr>
              <w:rPr>
                <w:i/>
              </w:rPr>
            </w:pPr>
            <w:r>
              <w:rPr>
                <w:i/>
              </w:rPr>
              <w:t>Core Grant</w:t>
            </w:r>
          </w:p>
        </w:tc>
      </w:tr>
      <w:tr w:rsidR="00360E9E" w14:paraId="36C98171" w14:textId="77777777" w:rsidTr="00360E9E">
        <w:tc>
          <w:tcPr>
            <w:tcW w:w="2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CCD694" w14:textId="77777777" w:rsidR="00360E9E" w:rsidRDefault="00360E9E">
            <w:pPr>
              <w:rPr>
                <w:sz w:val="24"/>
                <w:szCs w:val="24"/>
              </w:rPr>
            </w:pPr>
            <w:r>
              <w:rPr>
                <w:sz w:val="24"/>
                <w:szCs w:val="24"/>
              </w:rPr>
              <w:t xml:space="preserve">*Compliance Justification </w:t>
            </w:r>
          </w:p>
        </w:tc>
        <w:tc>
          <w:tcPr>
            <w:tcW w:w="3969" w:type="dxa"/>
            <w:tcBorders>
              <w:top w:val="single" w:sz="4" w:space="0" w:color="auto"/>
              <w:left w:val="single" w:sz="4" w:space="0" w:color="auto"/>
              <w:bottom w:val="single" w:sz="4" w:space="0" w:color="auto"/>
              <w:right w:val="single" w:sz="4" w:space="0" w:color="auto"/>
            </w:tcBorders>
          </w:tcPr>
          <w:p w14:paraId="6ECC90EF" w14:textId="77777777" w:rsidR="00360E9E" w:rsidRDefault="00360E9E" w:rsidP="00360E9E">
            <w:r>
              <w:t>End of software support.</w:t>
            </w:r>
          </w:p>
          <w:p w14:paraId="38E11D8B" w14:textId="77777777" w:rsidR="00360E9E" w:rsidRDefault="00360E9E" w:rsidP="00360E9E"/>
          <w:p w14:paraId="2F373158" w14:textId="77777777" w:rsidR="00360E9E" w:rsidRDefault="00360E9E" w:rsidP="00360E9E">
            <w:r>
              <w:t>Moodle HQ supports only the 2 most recent versions of its system, meaning that only the current stable release and the one before it are actively patched in response to software and security issues. There are 6 monthly releases of Moodle falling roughly f</w:t>
            </w:r>
            <w:r w:rsidRPr="00EE649F">
              <w:t>irst Monday of June and December</w:t>
            </w:r>
            <w:r>
              <w:t xml:space="preserve"> each year. This means in effect that each release of Moodle is only supported for 18 months.</w:t>
            </w:r>
          </w:p>
          <w:p w14:paraId="736CBA42" w14:textId="77777777" w:rsidR="00360E9E" w:rsidRPr="00360E9E" w:rsidRDefault="00360E9E" w:rsidP="00360E9E">
            <w:r>
              <w:t xml:space="preserve">End of life dates for all versions are published at </w:t>
            </w:r>
            <w:hyperlink r:id="rId7" w:history="1">
              <w:r w:rsidRPr="000F0593">
                <w:rPr>
                  <w:rStyle w:val="Hyperlink"/>
                </w:rPr>
                <w:t>http://docs.moodle.org/dev/Updates</w:t>
              </w:r>
            </w:hyperlink>
          </w:p>
          <w:p w14:paraId="512C3189" w14:textId="77777777" w:rsidR="00360E9E" w:rsidRDefault="00360E9E" w:rsidP="00360E9E">
            <w:pPr>
              <w:rPr>
                <w:i/>
              </w:rPr>
            </w:pPr>
          </w:p>
        </w:tc>
        <w:tc>
          <w:tcPr>
            <w:tcW w:w="1134" w:type="dxa"/>
            <w:gridSpan w:val="2"/>
            <w:tcBorders>
              <w:top w:val="single" w:sz="4" w:space="0" w:color="auto"/>
              <w:left w:val="single" w:sz="4" w:space="0" w:color="auto"/>
              <w:bottom w:val="single" w:sz="4" w:space="0" w:color="auto"/>
              <w:right w:val="single" w:sz="4" w:space="0" w:color="auto"/>
            </w:tcBorders>
          </w:tcPr>
          <w:p w14:paraId="27753940" w14:textId="77777777" w:rsidR="00360E9E" w:rsidRDefault="00360E9E">
            <w:pPr>
              <w:rPr>
                <w:sz w:val="24"/>
                <w:szCs w:val="24"/>
              </w:rPr>
            </w:pPr>
            <w:r>
              <w:rPr>
                <w:sz w:val="24"/>
                <w:szCs w:val="24"/>
              </w:rPr>
              <w:t>Proposal Type</w:t>
            </w:r>
          </w:p>
          <w:p w14:paraId="572215FA" w14:textId="77777777" w:rsidR="00360E9E" w:rsidRDefault="00360E9E">
            <w:pPr>
              <w:rPr>
                <w:i/>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51B20DD5" w14:textId="481FC956" w:rsidR="00360E9E" w:rsidRDefault="00360E9E" w:rsidP="00360E9E">
            <w:pPr>
              <w:rPr>
                <w:i/>
              </w:rPr>
            </w:pPr>
            <w:r>
              <w:rPr>
                <w:i/>
              </w:rPr>
              <w:t xml:space="preserve">New </w:t>
            </w:r>
          </w:p>
        </w:tc>
      </w:tr>
    </w:tbl>
    <w:p w14:paraId="54A22E59" w14:textId="77777777" w:rsidR="00360E9E" w:rsidRDefault="00360E9E" w:rsidP="00360E9E">
      <w:pPr>
        <w:pStyle w:val="Heading2"/>
      </w:pPr>
    </w:p>
    <w:p w14:paraId="5A8C9A6D" w14:textId="77777777" w:rsidR="00360E9E" w:rsidRDefault="00360E9E">
      <w:pPr>
        <w:rPr>
          <w:rFonts w:asciiTheme="majorHAnsi" w:eastAsiaTheme="majorEastAsia" w:hAnsiTheme="majorHAnsi" w:cstheme="majorBidi"/>
          <w:b/>
          <w:bCs/>
          <w:color w:val="4F81BD" w:themeColor="accent1"/>
          <w:sz w:val="26"/>
          <w:szCs w:val="26"/>
        </w:rPr>
      </w:pPr>
      <w:r>
        <w:br w:type="page"/>
      </w:r>
    </w:p>
    <w:p w14:paraId="08B1EB6B" w14:textId="6CD8F71A" w:rsidR="00360E9E" w:rsidRDefault="00360E9E" w:rsidP="00360E9E">
      <w:pPr>
        <w:pStyle w:val="Heading2"/>
      </w:pPr>
      <w:r>
        <w:lastRenderedPageBreak/>
        <w:t>Estimation</w:t>
      </w:r>
    </w:p>
    <w:tbl>
      <w:tblPr>
        <w:tblStyle w:val="TableGrid"/>
        <w:tblW w:w="0" w:type="auto"/>
        <w:tblLook w:val="04A0" w:firstRow="1" w:lastRow="0" w:firstColumn="1" w:lastColumn="0" w:noHBand="0" w:noVBand="1"/>
      </w:tblPr>
      <w:tblGrid>
        <w:gridCol w:w="1935"/>
        <w:gridCol w:w="1717"/>
        <w:gridCol w:w="2730"/>
        <w:gridCol w:w="4300"/>
      </w:tblGrid>
      <w:tr w:rsidR="00360E9E" w14:paraId="25C58E77" w14:textId="77777777" w:rsidTr="00360E9E">
        <w:trPr>
          <w:trHeight w:val="597"/>
        </w:trPr>
        <w:tc>
          <w:tcPr>
            <w:tcW w:w="193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10F49" w14:textId="77777777" w:rsidR="00360E9E" w:rsidRDefault="00360E9E">
            <w:pPr>
              <w:rPr>
                <w:sz w:val="24"/>
                <w:szCs w:val="24"/>
              </w:rPr>
            </w:pPr>
            <w:r>
              <w:rPr>
                <w:sz w:val="24"/>
                <w:szCs w:val="24"/>
              </w:rPr>
              <w:t xml:space="preserve">Estimation Type </w:t>
            </w:r>
          </w:p>
          <w:p w14:paraId="39D42BD3" w14:textId="77777777" w:rsidR="00360E9E" w:rsidRDefault="00360E9E">
            <w:pPr>
              <w:rPr>
                <w:i/>
                <w:sz w:val="24"/>
                <w:szCs w:val="24"/>
              </w:rPr>
            </w:pPr>
          </w:p>
          <w:p w14:paraId="1BA2225C" w14:textId="77777777" w:rsidR="00360E9E" w:rsidRDefault="00360E9E">
            <w:pPr>
              <w:rPr>
                <w:sz w:val="24"/>
                <w:szCs w:val="24"/>
              </w:rPr>
            </w:pPr>
          </w:p>
        </w:tc>
        <w:tc>
          <w:tcPr>
            <w:tcW w:w="4447" w:type="dxa"/>
            <w:gridSpan w:val="2"/>
            <w:tcBorders>
              <w:top w:val="single" w:sz="4" w:space="0" w:color="auto"/>
              <w:left w:val="single" w:sz="4" w:space="0" w:color="auto"/>
              <w:bottom w:val="single" w:sz="4" w:space="0" w:color="auto"/>
              <w:right w:val="single" w:sz="4" w:space="0" w:color="auto"/>
            </w:tcBorders>
            <w:hideMark/>
          </w:tcPr>
          <w:p w14:paraId="360CDBB2" w14:textId="77777777" w:rsidR="00360E9E" w:rsidRDefault="00360E9E">
            <w:pPr>
              <w:rPr>
                <w:i/>
              </w:rPr>
            </w:pPr>
            <w:r>
              <w:rPr>
                <w:i/>
              </w:rPr>
              <w:t>Software Development</w:t>
            </w:r>
          </w:p>
        </w:tc>
        <w:tc>
          <w:tcPr>
            <w:tcW w:w="4300" w:type="dxa"/>
            <w:tcBorders>
              <w:top w:val="single" w:sz="4" w:space="0" w:color="auto"/>
              <w:left w:val="single" w:sz="4" w:space="0" w:color="auto"/>
              <w:bottom w:val="single" w:sz="4" w:space="0" w:color="auto"/>
              <w:right w:val="single" w:sz="4" w:space="0" w:color="auto"/>
            </w:tcBorders>
          </w:tcPr>
          <w:p w14:paraId="2654FEF4" w14:textId="77777777" w:rsidR="00360E9E" w:rsidRDefault="00360E9E">
            <w:pPr>
              <w:rPr>
                <w:i/>
              </w:rPr>
            </w:pPr>
          </w:p>
        </w:tc>
      </w:tr>
      <w:tr w:rsidR="00360E9E" w14:paraId="145CEEBF" w14:textId="77777777" w:rsidTr="00360E9E">
        <w:trPr>
          <w:trHeight w:val="5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F72B12" w14:textId="77777777" w:rsidR="00360E9E" w:rsidRDefault="00360E9E">
            <w:pPr>
              <w:rPr>
                <w:sz w:val="24"/>
                <w:szCs w:val="24"/>
              </w:rPr>
            </w:pPr>
          </w:p>
        </w:tc>
        <w:tc>
          <w:tcPr>
            <w:tcW w:w="4447" w:type="dxa"/>
            <w:gridSpan w:val="2"/>
            <w:tcBorders>
              <w:top w:val="single" w:sz="4" w:space="0" w:color="auto"/>
              <w:left w:val="single" w:sz="4" w:space="0" w:color="auto"/>
              <w:bottom w:val="single" w:sz="4" w:space="0" w:color="auto"/>
              <w:right w:val="single" w:sz="4" w:space="0" w:color="auto"/>
            </w:tcBorders>
            <w:hideMark/>
          </w:tcPr>
          <w:p w14:paraId="733C2216" w14:textId="77777777" w:rsidR="00360E9E" w:rsidRDefault="00360E9E">
            <w:pPr>
              <w:rPr>
                <w:i/>
              </w:rPr>
            </w:pPr>
            <w:r>
              <w:rPr>
                <w:i/>
              </w:rPr>
              <w:t>Software Configuration e.g. SITS</w:t>
            </w:r>
          </w:p>
        </w:tc>
        <w:tc>
          <w:tcPr>
            <w:tcW w:w="4300" w:type="dxa"/>
            <w:tcBorders>
              <w:top w:val="single" w:sz="4" w:space="0" w:color="auto"/>
              <w:left w:val="single" w:sz="4" w:space="0" w:color="auto"/>
              <w:bottom w:val="single" w:sz="4" w:space="0" w:color="auto"/>
              <w:right w:val="single" w:sz="4" w:space="0" w:color="auto"/>
            </w:tcBorders>
          </w:tcPr>
          <w:p w14:paraId="64F489F2" w14:textId="77777777" w:rsidR="00360E9E" w:rsidRDefault="00360E9E">
            <w:pPr>
              <w:rPr>
                <w:i/>
              </w:rPr>
            </w:pPr>
          </w:p>
        </w:tc>
      </w:tr>
      <w:tr w:rsidR="00360E9E" w14:paraId="148BB04E" w14:textId="77777777" w:rsidTr="00360E9E">
        <w:trPr>
          <w:trHeight w:val="5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3FC318" w14:textId="77777777" w:rsidR="00360E9E" w:rsidRDefault="00360E9E">
            <w:pPr>
              <w:rPr>
                <w:sz w:val="24"/>
                <w:szCs w:val="24"/>
              </w:rPr>
            </w:pPr>
          </w:p>
        </w:tc>
        <w:tc>
          <w:tcPr>
            <w:tcW w:w="4447" w:type="dxa"/>
            <w:gridSpan w:val="2"/>
            <w:tcBorders>
              <w:top w:val="single" w:sz="4" w:space="0" w:color="auto"/>
              <w:left w:val="single" w:sz="4" w:space="0" w:color="auto"/>
              <w:bottom w:val="single" w:sz="4" w:space="0" w:color="auto"/>
              <w:right w:val="single" w:sz="4" w:space="0" w:color="auto"/>
            </w:tcBorders>
            <w:hideMark/>
          </w:tcPr>
          <w:p w14:paraId="452C41EA" w14:textId="77777777" w:rsidR="00360E9E" w:rsidRDefault="00360E9E">
            <w:pPr>
              <w:rPr>
                <w:i/>
              </w:rPr>
            </w:pPr>
            <w:r>
              <w:rPr>
                <w:i/>
              </w:rPr>
              <w:t>Infrastructure Development</w:t>
            </w:r>
          </w:p>
        </w:tc>
        <w:tc>
          <w:tcPr>
            <w:tcW w:w="4300" w:type="dxa"/>
            <w:tcBorders>
              <w:top w:val="single" w:sz="4" w:space="0" w:color="auto"/>
              <w:left w:val="single" w:sz="4" w:space="0" w:color="auto"/>
              <w:bottom w:val="single" w:sz="4" w:space="0" w:color="auto"/>
              <w:right w:val="single" w:sz="4" w:space="0" w:color="auto"/>
            </w:tcBorders>
          </w:tcPr>
          <w:p w14:paraId="4DE991D0" w14:textId="77777777" w:rsidR="00360E9E" w:rsidRDefault="00360E9E">
            <w:pPr>
              <w:rPr>
                <w:i/>
              </w:rPr>
            </w:pPr>
          </w:p>
        </w:tc>
      </w:tr>
      <w:tr w:rsidR="00360E9E" w14:paraId="09F0D776" w14:textId="77777777" w:rsidTr="00360E9E">
        <w:trPr>
          <w:trHeight w:val="5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F76EB6" w14:textId="77777777" w:rsidR="00360E9E" w:rsidRDefault="00360E9E">
            <w:pPr>
              <w:rPr>
                <w:sz w:val="24"/>
                <w:szCs w:val="24"/>
              </w:rPr>
            </w:pPr>
          </w:p>
        </w:tc>
        <w:tc>
          <w:tcPr>
            <w:tcW w:w="4447" w:type="dxa"/>
            <w:gridSpan w:val="2"/>
            <w:tcBorders>
              <w:top w:val="single" w:sz="4" w:space="0" w:color="auto"/>
              <w:left w:val="single" w:sz="4" w:space="0" w:color="auto"/>
              <w:bottom w:val="single" w:sz="4" w:space="0" w:color="auto"/>
              <w:right w:val="single" w:sz="4" w:space="0" w:color="auto"/>
            </w:tcBorders>
            <w:hideMark/>
          </w:tcPr>
          <w:p w14:paraId="285F15CF" w14:textId="77777777" w:rsidR="00360E9E" w:rsidRDefault="00360E9E">
            <w:pPr>
              <w:rPr>
                <w:i/>
              </w:rPr>
            </w:pPr>
            <w:r>
              <w:rPr>
                <w:i/>
              </w:rPr>
              <w:t xml:space="preserve">Business Case / Options Appraisal </w:t>
            </w:r>
          </w:p>
        </w:tc>
        <w:tc>
          <w:tcPr>
            <w:tcW w:w="4300" w:type="dxa"/>
            <w:tcBorders>
              <w:top w:val="single" w:sz="4" w:space="0" w:color="auto"/>
              <w:left w:val="single" w:sz="4" w:space="0" w:color="auto"/>
              <w:bottom w:val="single" w:sz="4" w:space="0" w:color="auto"/>
              <w:right w:val="single" w:sz="4" w:space="0" w:color="auto"/>
            </w:tcBorders>
          </w:tcPr>
          <w:p w14:paraId="62D469EF" w14:textId="77777777" w:rsidR="00360E9E" w:rsidRDefault="00360E9E">
            <w:pPr>
              <w:rPr>
                <w:i/>
              </w:rPr>
            </w:pPr>
          </w:p>
        </w:tc>
      </w:tr>
      <w:tr w:rsidR="00360E9E" w14:paraId="0D159CD0" w14:textId="77777777" w:rsidTr="00360E9E">
        <w:trPr>
          <w:trHeight w:val="5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8670FA" w14:textId="77777777" w:rsidR="00360E9E" w:rsidRDefault="00360E9E">
            <w:pPr>
              <w:rPr>
                <w:sz w:val="24"/>
                <w:szCs w:val="24"/>
              </w:rPr>
            </w:pPr>
          </w:p>
        </w:tc>
        <w:tc>
          <w:tcPr>
            <w:tcW w:w="4447" w:type="dxa"/>
            <w:gridSpan w:val="2"/>
            <w:tcBorders>
              <w:top w:val="single" w:sz="4" w:space="0" w:color="auto"/>
              <w:left w:val="single" w:sz="4" w:space="0" w:color="auto"/>
              <w:bottom w:val="single" w:sz="4" w:space="0" w:color="auto"/>
              <w:right w:val="single" w:sz="4" w:space="0" w:color="auto"/>
            </w:tcBorders>
            <w:hideMark/>
          </w:tcPr>
          <w:p w14:paraId="7BA91FFA" w14:textId="77777777" w:rsidR="00360E9E" w:rsidRDefault="00360E9E">
            <w:pPr>
              <w:rPr>
                <w:i/>
              </w:rPr>
            </w:pPr>
            <w:r>
              <w:rPr>
                <w:i/>
              </w:rPr>
              <w:t>Procurement</w:t>
            </w:r>
          </w:p>
        </w:tc>
        <w:tc>
          <w:tcPr>
            <w:tcW w:w="4300" w:type="dxa"/>
            <w:tcBorders>
              <w:top w:val="single" w:sz="4" w:space="0" w:color="auto"/>
              <w:left w:val="single" w:sz="4" w:space="0" w:color="auto"/>
              <w:bottom w:val="single" w:sz="4" w:space="0" w:color="auto"/>
              <w:right w:val="single" w:sz="4" w:space="0" w:color="auto"/>
            </w:tcBorders>
          </w:tcPr>
          <w:p w14:paraId="223CAF16" w14:textId="77777777" w:rsidR="00360E9E" w:rsidRDefault="00360E9E">
            <w:pPr>
              <w:rPr>
                <w:i/>
              </w:rPr>
            </w:pPr>
          </w:p>
        </w:tc>
      </w:tr>
      <w:tr w:rsidR="00360E9E" w14:paraId="5A934396" w14:textId="77777777" w:rsidTr="00360E9E">
        <w:trPr>
          <w:trHeight w:val="5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2D856C" w14:textId="77777777" w:rsidR="00360E9E" w:rsidRDefault="00360E9E">
            <w:pPr>
              <w:rPr>
                <w:sz w:val="24"/>
                <w:szCs w:val="24"/>
              </w:rPr>
            </w:pPr>
          </w:p>
        </w:tc>
        <w:tc>
          <w:tcPr>
            <w:tcW w:w="4447" w:type="dxa"/>
            <w:gridSpan w:val="2"/>
            <w:tcBorders>
              <w:top w:val="single" w:sz="4" w:space="0" w:color="auto"/>
              <w:left w:val="single" w:sz="4" w:space="0" w:color="auto"/>
              <w:bottom w:val="single" w:sz="4" w:space="0" w:color="auto"/>
              <w:right w:val="single" w:sz="4" w:space="0" w:color="auto"/>
            </w:tcBorders>
            <w:hideMark/>
          </w:tcPr>
          <w:p w14:paraId="1A643A02" w14:textId="77777777" w:rsidR="00360E9E" w:rsidRDefault="00360E9E">
            <w:pPr>
              <w:rPr>
                <w:i/>
              </w:rPr>
            </w:pPr>
            <w:r>
              <w:rPr>
                <w:i/>
              </w:rPr>
              <w:t>Implement Package Solution</w:t>
            </w:r>
          </w:p>
        </w:tc>
        <w:tc>
          <w:tcPr>
            <w:tcW w:w="4300" w:type="dxa"/>
            <w:tcBorders>
              <w:top w:val="single" w:sz="4" w:space="0" w:color="auto"/>
              <w:left w:val="single" w:sz="4" w:space="0" w:color="auto"/>
              <w:bottom w:val="single" w:sz="4" w:space="0" w:color="auto"/>
              <w:right w:val="single" w:sz="4" w:space="0" w:color="auto"/>
            </w:tcBorders>
          </w:tcPr>
          <w:p w14:paraId="121213EE" w14:textId="64F01932" w:rsidR="00360E9E" w:rsidRDefault="00360E9E">
            <w:pPr>
              <w:rPr>
                <w:i/>
              </w:rPr>
            </w:pPr>
            <w:r>
              <w:rPr>
                <w:i/>
              </w:rPr>
              <w:t>X</w:t>
            </w:r>
          </w:p>
        </w:tc>
      </w:tr>
      <w:tr w:rsidR="00360E9E" w14:paraId="124252F4" w14:textId="77777777" w:rsidTr="00360E9E">
        <w:tc>
          <w:tcPr>
            <w:tcW w:w="19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94BF30" w14:textId="77777777" w:rsidR="00360E9E" w:rsidRDefault="00360E9E">
            <w:r>
              <w:t xml:space="preserve">Estimated IS Apps Days </w:t>
            </w:r>
            <w:r>
              <w:br/>
              <w:t>(see additional guidance*)</w:t>
            </w:r>
          </w:p>
        </w:tc>
        <w:tc>
          <w:tcPr>
            <w:tcW w:w="1717" w:type="dxa"/>
            <w:tcBorders>
              <w:top w:val="single" w:sz="4" w:space="0" w:color="auto"/>
              <w:left w:val="single" w:sz="4" w:space="0" w:color="auto"/>
              <w:bottom w:val="single" w:sz="4" w:space="0" w:color="auto"/>
              <w:right w:val="single" w:sz="4" w:space="0" w:color="auto"/>
            </w:tcBorders>
            <w:hideMark/>
          </w:tcPr>
          <w:p w14:paraId="0B776B48" w14:textId="7E74E131" w:rsidR="00360E9E" w:rsidRDefault="00360E9E">
            <w:pPr>
              <w:rPr>
                <w:i/>
              </w:rPr>
            </w:pPr>
            <w:r>
              <w:rPr>
                <w:i/>
              </w:rPr>
              <w:t>S – 50 days</w:t>
            </w:r>
          </w:p>
        </w:tc>
        <w:tc>
          <w:tcPr>
            <w:tcW w:w="2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5B70A2" w14:textId="77777777" w:rsidR="00360E9E" w:rsidRDefault="00360E9E">
            <w:pPr>
              <w:rPr>
                <w:sz w:val="24"/>
                <w:szCs w:val="24"/>
              </w:rPr>
            </w:pPr>
            <w:r>
              <w:rPr>
                <w:sz w:val="24"/>
                <w:szCs w:val="24"/>
              </w:rPr>
              <w:t>Estimated Business Partner Days</w:t>
            </w:r>
          </w:p>
        </w:tc>
        <w:tc>
          <w:tcPr>
            <w:tcW w:w="4300" w:type="dxa"/>
            <w:tcBorders>
              <w:top w:val="single" w:sz="4" w:space="0" w:color="auto"/>
              <w:left w:val="single" w:sz="4" w:space="0" w:color="auto"/>
              <w:bottom w:val="single" w:sz="4" w:space="0" w:color="auto"/>
              <w:right w:val="single" w:sz="4" w:space="0" w:color="auto"/>
            </w:tcBorders>
            <w:hideMark/>
          </w:tcPr>
          <w:p w14:paraId="71FD01FE" w14:textId="43CD06F3" w:rsidR="00360E9E" w:rsidRDefault="00360E9E">
            <w:pPr>
              <w:rPr>
                <w:i/>
              </w:rPr>
            </w:pPr>
            <w:r>
              <w:rPr>
                <w:i/>
              </w:rPr>
              <w:t>S – 50 days</w:t>
            </w:r>
            <w:r>
              <w:rPr>
                <w:i/>
              </w:rPr>
              <w:br/>
              <w:t>(USD TELS)</w:t>
            </w:r>
          </w:p>
        </w:tc>
      </w:tr>
      <w:tr w:rsidR="00360E9E" w14:paraId="547AE088" w14:textId="77777777" w:rsidTr="00360E9E">
        <w:tc>
          <w:tcPr>
            <w:tcW w:w="19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7520DA" w14:textId="77777777" w:rsidR="00360E9E" w:rsidRDefault="00360E9E">
            <w:r>
              <w:t>Estimated Service Management Days</w:t>
            </w:r>
          </w:p>
        </w:tc>
        <w:tc>
          <w:tcPr>
            <w:tcW w:w="1717" w:type="dxa"/>
            <w:tcBorders>
              <w:top w:val="single" w:sz="4" w:space="0" w:color="auto"/>
              <w:left w:val="single" w:sz="4" w:space="0" w:color="auto"/>
              <w:bottom w:val="single" w:sz="4" w:space="0" w:color="auto"/>
              <w:right w:val="single" w:sz="4" w:space="0" w:color="auto"/>
            </w:tcBorders>
            <w:hideMark/>
          </w:tcPr>
          <w:p w14:paraId="497A063D" w14:textId="4EB75281" w:rsidR="00360E9E" w:rsidRDefault="00360E9E">
            <w:pPr>
              <w:rPr>
                <w:i/>
              </w:rPr>
            </w:pPr>
            <w:r>
              <w:rPr>
                <w:i/>
              </w:rPr>
              <w:t>S – 50 days</w:t>
            </w:r>
            <w:r>
              <w:rPr>
                <w:i/>
              </w:rPr>
              <w:br/>
              <w:t>(APPS TELS)</w:t>
            </w:r>
          </w:p>
        </w:tc>
        <w:tc>
          <w:tcPr>
            <w:tcW w:w="2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4E3118" w14:textId="77777777" w:rsidR="00360E9E" w:rsidRDefault="00360E9E">
            <w:pPr>
              <w:rPr>
                <w:sz w:val="24"/>
                <w:szCs w:val="24"/>
              </w:rPr>
            </w:pPr>
            <w:r>
              <w:rPr>
                <w:sz w:val="24"/>
                <w:szCs w:val="24"/>
              </w:rPr>
              <w:t>Impact on other Service area</w:t>
            </w:r>
          </w:p>
        </w:tc>
        <w:tc>
          <w:tcPr>
            <w:tcW w:w="4300" w:type="dxa"/>
            <w:tcBorders>
              <w:top w:val="single" w:sz="4" w:space="0" w:color="auto"/>
              <w:left w:val="single" w:sz="4" w:space="0" w:color="auto"/>
              <w:bottom w:val="single" w:sz="4" w:space="0" w:color="auto"/>
              <w:right w:val="single" w:sz="4" w:space="0" w:color="auto"/>
            </w:tcBorders>
          </w:tcPr>
          <w:p w14:paraId="1B596577" w14:textId="5F9EF8C2" w:rsidR="00360E9E" w:rsidRDefault="00360E9E">
            <w:pPr>
              <w:rPr>
                <w:i/>
              </w:rPr>
            </w:pPr>
            <w:r>
              <w:rPr>
                <w:i/>
              </w:rPr>
              <w:t>N/A</w:t>
            </w:r>
          </w:p>
          <w:p w14:paraId="4F964FA9" w14:textId="77777777" w:rsidR="00360E9E" w:rsidRDefault="00360E9E">
            <w:pPr>
              <w:rPr>
                <w:i/>
              </w:rPr>
            </w:pPr>
          </w:p>
        </w:tc>
      </w:tr>
      <w:tr w:rsidR="00360E9E" w14:paraId="1975CA06" w14:textId="77777777" w:rsidTr="00360E9E">
        <w:tc>
          <w:tcPr>
            <w:tcW w:w="19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04AEF5" w14:textId="77777777" w:rsidR="00360E9E" w:rsidRDefault="00360E9E">
            <w:pPr>
              <w:rPr>
                <w:sz w:val="24"/>
                <w:szCs w:val="24"/>
              </w:rPr>
            </w:pPr>
            <w:r>
              <w:rPr>
                <w:sz w:val="24"/>
                <w:szCs w:val="24"/>
              </w:rPr>
              <w:t xml:space="preserve">Estimation Confidence </w:t>
            </w:r>
            <w:r>
              <w:rPr>
                <w:i/>
              </w:rPr>
              <w:t>(delete as required)</w:t>
            </w:r>
          </w:p>
        </w:tc>
        <w:tc>
          <w:tcPr>
            <w:tcW w:w="8747" w:type="dxa"/>
            <w:gridSpan w:val="3"/>
            <w:tcBorders>
              <w:top w:val="single" w:sz="4" w:space="0" w:color="auto"/>
              <w:left w:val="single" w:sz="4" w:space="0" w:color="auto"/>
              <w:bottom w:val="single" w:sz="4" w:space="0" w:color="auto"/>
              <w:right w:val="single" w:sz="4" w:space="0" w:color="auto"/>
            </w:tcBorders>
          </w:tcPr>
          <w:p w14:paraId="2A67BD96" w14:textId="77777777" w:rsidR="00360E9E" w:rsidRDefault="00360E9E">
            <w:pPr>
              <w:rPr>
                <w:i/>
              </w:rPr>
            </w:pPr>
            <w:r>
              <w:rPr>
                <w:i/>
              </w:rPr>
              <w:t>Reasonably Confident (Similar to previous work)</w:t>
            </w:r>
          </w:p>
          <w:p w14:paraId="7D82AEB8" w14:textId="06CC886A" w:rsidR="00360E9E" w:rsidRDefault="00360E9E" w:rsidP="00360E9E">
            <w:pPr>
              <w:rPr>
                <w:i/>
              </w:rPr>
            </w:pPr>
            <w:r>
              <w:rPr>
                <w:i/>
              </w:rPr>
              <w:t>Done one upgrade before, but it became 60 days due to unexpected infrastructure changes introduced by the patch.</w:t>
            </w:r>
          </w:p>
        </w:tc>
      </w:tr>
      <w:tr w:rsidR="00360E9E" w14:paraId="0B730744" w14:textId="77777777" w:rsidTr="00360E9E">
        <w:tc>
          <w:tcPr>
            <w:tcW w:w="19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D40159" w14:textId="77777777" w:rsidR="00360E9E" w:rsidRDefault="00360E9E">
            <w:pPr>
              <w:rPr>
                <w:sz w:val="24"/>
                <w:szCs w:val="24"/>
              </w:rPr>
            </w:pPr>
            <w:r>
              <w:rPr>
                <w:sz w:val="24"/>
                <w:szCs w:val="24"/>
              </w:rPr>
              <w:t>Estimation References</w:t>
            </w:r>
          </w:p>
        </w:tc>
        <w:tc>
          <w:tcPr>
            <w:tcW w:w="8747" w:type="dxa"/>
            <w:gridSpan w:val="3"/>
            <w:tcBorders>
              <w:top w:val="single" w:sz="4" w:space="0" w:color="auto"/>
              <w:left w:val="single" w:sz="4" w:space="0" w:color="auto"/>
              <w:bottom w:val="single" w:sz="4" w:space="0" w:color="auto"/>
              <w:right w:val="single" w:sz="4" w:space="0" w:color="auto"/>
            </w:tcBorders>
            <w:hideMark/>
          </w:tcPr>
          <w:p w14:paraId="1E44A3E0" w14:textId="77777777" w:rsidR="00360E9E" w:rsidRDefault="00360E9E">
            <w:pPr>
              <w:rPr>
                <w:i/>
              </w:rPr>
            </w:pPr>
            <w:r>
              <w:rPr>
                <w:i/>
              </w:rPr>
              <w:t>Justification for the Estimated Days and Estimation Confidence. This section is also used to provide any other relevant information the proposal estimate. This may include:</w:t>
            </w:r>
          </w:p>
          <w:p w14:paraId="4A4F9B78" w14:textId="77777777" w:rsidR="00360E9E" w:rsidRDefault="00360E9E" w:rsidP="00360E9E">
            <w:pPr>
              <w:pStyle w:val="ListParagraph"/>
              <w:numPr>
                <w:ilvl w:val="0"/>
                <w:numId w:val="4"/>
              </w:numPr>
              <w:rPr>
                <w:i/>
              </w:rPr>
            </w:pPr>
            <w:r>
              <w:rPr>
                <w:i/>
              </w:rPr>
              <w:t>Assumptions about the project approach, scope or deliverables</w:t>
            </w:r>
          </w:p>
          <w:p w14:paraId="6B0C354A" w14:textId="77777777" w:rsidR="00360E9E" w:rsidRDefault="00360E9E" w:rsidP="00360E9E">
            <w:pPr>
              <w:pStyle w:val="ListParagraph"/>
              <w:numPr>
                <w:ilvl w:val="0"/>
                <w:numId w:val="4"/>
              </w:numPr>
              <w:rPr>
                <w:i/>
              </w:rPr>
            </w:pPr>
            <w:r>
              <w:rPr>
                <w:i/>
              </w:rPr>
              <w:t>Details of previous similar projects</w:t>
            </w:r>
          </w:p>
          <w:p w14:paraId="4E654AE6" w14:textId="77777777" w:rsidR="00360E9E" w:rsidRDefault="00360E9E" w:rsidP="00360E9E">
            <w:pPr>
              <w:pStyle w:val="ListParagraph"/>
              <w:numPr>
                <w:ilvl w:val="0"/>
                <w:numId w:val="4"/>
              </w:numPr>
              <w:rPr>
                <w:i/>
              </w:rPr>
            </w:pPr>
            <w:r>
              <w:rPr>
                <w:i/>
              </w:rPr>
              <w:t xml:space="preserve">Risks or other unknown elements </w:t>
            </w:r>
          </w:p>
          <w:p w14:paraId="1EF72C81" w14:textId="77777777" w:rsidR="00360E9E" w:rsidRDefault="00360E9E">
            <w:pPr>
              <w:rPr>
                <w:i/>
              </w:rPr>
            </w:pPr>
            <w:r>
              <w:rPr>
                <w:i/>
              </w:rPr>
              <w:t>Record as many details as are relevant</w:t>
            </w:r>
          </w:p>
        </w:tc>
      </w:tr>
    </w:tbl>
    <w:p w14:paraId="139F56B3" w14:textId="77777777" w:rsidR="008B5CEE" w:rsidRDefault="008B5CEE"/>
    <w:p w14:paraId="62CDD1D7" w14:textId="77777777" w:rsidR="0005231F" w:rsidRPr="00C63351" w:rsidRDefault="001B4393" w:rsidP="000D528D">
      <w:pPr>
        <w:rPr>
          <w:rFonts w:asciiTheme="majorHAnsi" w:hAnsiTheme="majorHAnsi"/>
          <w:b/>
          <w:color w:val="0070C0"/>
          <w:sz w:val="26"/>
          <w:szCs w:val="26"/>
        </w:rPr>
      </w:pPr>
      <w:r w:rsidRPr="00C63351">
        <w:rPr>
          <w:rFonts w:asciiTheme="majorHAnsi" w:hAnsiTheme="majorHAnsi"/>
          <w:b/>
          <w:color w:val="0070C0"/>
          <w:sz w:val="26"/>
          <w:szCs w:val="26"/>
        </w:rPr>
        <w:t>*</w:t>
      </w:r>
      <w:r w:rsidR="0005231F" w:rsidRPr="00C63351">
        <w:rPr>
          <w:rFonts w:asciiTheme="majorHAnsi" w:hAnsiTheme="majorHAnsi"/>
          <w:b/>
          <w:color w:val="0070C0"/>
          <w:sz w:val="26"/>
          <w:szCs w:val="26"/>
        </w:rPr>
        <w:t>Estimation</w:t>
      </w:r>
      <w:r w:rsidR="0076682F" w:rsidRPr="00C63351">
        <w:rPr>
          <w:rFonts w:asciiTheme="majorHAnsi" w:hAnsiTheme="majorHAnsi"/>
          <w:b/>
          <w:color w:val="0070C0"/>
          <w:sz w:val="26"/>
          <w:szCs w:val="26"/>
        </w:rPr>
        <w:t xml:space="preserve"> – Additional Guidance</w:t>
      </w:r>
      <w:r w:rsidR="0005231F" w:rsidRPr="00C63351">
        <w:rPr>
          <w:rFonts w:asciiTheme="majorHAnsi" w:hAnsiTheme="majorHAnsi"/>
          <w:b/>
          <w:color w:val="0070C0"/>
          <w:sz w:val="26"/>
          <w:szCs w:val="26"/>
        </w:rPr>
        <w:t>:</w:t>
      </w:r>
    </w:p>
    <w:p w14:paraId="0CF80385" w14:textId="77777777" w:rsidR="001B4393" w:rsidRPr="00096F08" w:rsidRDefault="001B4393" w:rsidP="00096F08">
      <w:pPr>
        <w:rPr>
          <w:sz w:val="24"/>
          <w:szCs w:val="24"/>
        </w:rPr>
      </w:pPr>
      <w:r w:rsidRPr="00096F08">
        <w:rPr>
          <w:sz w:val="24"/>
          <w:szCs w:val="24"/>
        </w:rPr>
        <w:t>For 1</w:t>
      </w:r>
      <w:r w:rsidRPr="00096F08">
        <w:rPr>
          <w:sz w:val="24"/>
          <w:szCs w:val="24"/>
          <w:vertAlign w:val="superscript"/>
        </w:rPr>
        <w:t>st</w:t>
      </w:r>
      <w:r w:rsidRPr="00096F08">
        <w:rPr>
          <w:sz w:val="24"/>
          <w:szCs w:val="24"/>
        </w:rPr>
        <w:t xml:space="preserve"> stage/iteration of Red Line, the following</w:t>
      </w:r>
      <w:r w:rsidR="00C63351">
        <w:rPr>
          <w:sz w:val="24"/>
          <w:szCs w:val="24"/>
        </w:rPr>
        <w:t xml:space="preserve"> standard estimation categorisations will be used</w:t>
      </w:r>
      <w:r w:rsidRPr="00096F08">
        <w:rPr>
          <w:sz w:val="24"/>
          <w:szCs w:val="24"/>
        </w:rPr>
        <w:t xml:space="preserve">, </w:t>
      </w:r>
    </w:p>
    <w:p w14:paraId="21ABB3B3" w14:textId="77777777" w:rsidR="001B4393" w:rsidRPr="00096F08" w:rsidRDefault="001B4393" w:rsidP="00096F08">
      <w:pPr>
        <w:pStyle w:val="ListParagraph"/>
        <w:numPr>
          <w:ilvl w:val="0"/>
          <w:numId w:val="3"/>
        </w:numPr>
        <w:rPr>
          <w:sz w:val="24"/>
          <w:szCs w:val="24"/>
        </w:rPr>
      </w:pPr>
      <w:r w:rsidRPr="00096F08">
        <w:rPr>
          <w:sz w:val="24"/>
          <w:szCs w:val="24"/>
        </w:rPr>
        <w:t>Small – 50 days</w:t>
      </w:r>
    </w:p>
    <w:p w14:paraId="53199E36" w14:textId="77777777" w:rsidR="001B4393" w:rsidRPr="00096F08" w:rsidRDefault="001B4393" w:rsidP="00096F08">
      <w:pPr>
        <w:pStyle w:val="ListParagraph"/>
        <w:numPr>
          <w:ilvl w:val="0"/>
          <w:numId w:val="3"/>
        </w:numPr>
        <w:rPr>
          <w:sz w:val="24"/>
          <w:szCs w:val="24"/>
        </w:rPr>
      </w:pPr>
      <w:r w:rsidRPr="00096F08">
        <w:rPr>
          <w:sz w:val="24"/>
          <w:szCs w:val="24"/>
        </w:rPr>
        <w:t xml:space="preserve">Medium – 120 days </w:t>
      </w:r>
    </w:p>
    <w:p w14:paraId="18D762B3" w14:textId="77777777" w:rsidR="001B4393" w:rsidRPr="00096F08" w:rsidRDefault="001B4393" w:rsidP="00096F08">
      <w:pPr>
        <w:pStyle w:val="ListParagraph"/>
        <w:numPr>
          <w:ilvl w:val="0"/>
          <w:numId w:val="3"/>
        </w:numPr>
        <w:rPr>
          <w:sz w:val="24"/>
          <w:szCs w:val="24"/>
        </w:rPr>
      </w:pPr>
      <w:r w:rsidRPr="00096F08">
        <w:rPr>
          <w:sz w:val="24"/>
          <w:szCs w:val="24"/>
        </w:rPr>
        <w:t xml:space="preserve">Large – 250 days </w:t>
      </w:r>
    </w:p>
    <w:p w14:paraId="19F221C8" w14:textId="77777777" w:rsidR="001B4393" w:rsidRPr="00096F08" w:rsidRDefault="001B4393" w:rsidP="00096F08">
      <w:pPr>
        <w:pStyle w:val="ListParagraph"/>
        <w:numPr>
          <w:ilvl w:val="0"/>
          <w:numId w:val="3"/>
        </w:numPr>
        <w:rPr>
          <w:sz w:val="24"/>
          <w:szCs w:val="24"/>
        </w:rPr>
      </w:pPr>
      <w:r w:rsidRPr="00096F08">
        <w:rPr>
          <w:sz w:val="24"/>
          <w:szCs w:val="24"/>
        </w:rPr>
        <w:t xml:space="preserve">Extra Large – 500 days </w:t>
      </w:r>
    </w:p>
    <w:p w14:paraId="7906A455" w14:textId="77777777" w:rsidR="002F0A4F" w:rsidRDefault="002F0A4F" w:rsidP="0005231F"/>
    <w:p w14:paraId="0EDB574E" w14:textId="77777777" w:rsidR="000D528D" w:rsidRDefault="000D528D" w:rsidP="000D528D">
      <w:r>
        <w:tab/>
      </w:r>
      <w:r>
        <w:tab/>
      </w:r>
      <w:r>
        <w:tab/>
      </w:r>
      <w:r>
        <w:tab/>
      </w:r>
      <w:r>
        <w:tab/>
      </w:r>
    </w:p>
    <w:p w14:paraId="0FB0F9B8" w14:textId="77777777" w:rsidR="000D528D" w:rsidRDefault="000D528D" w:rsidP="000D528D">
      <w:r>
        <w:tab/>
      </w:r>
      <w:r>
        <w:tab/>
      </w:r>
      <w:r>
        <w:tab/>
      </w:r>
      <w:r>
        <w:tab/>
      </w:r>
      <w:r>
        <w:tab/>
      </w:r>
    </w:p>
    <w:p w14:paraId="1368CC08" w14:textId="77777777" w:rsidR="000D528D" w:rsidRDefault="000D528D" w:rsidP="000D528D">
      <w:r>
        <w:tab/>
      </w:r>
      <w:r>
        <w:tab/>
      </w:r>
      <w:r>
        <w:tab/>
      </w:r>
      <w:r>
        <w:tab/>
      </w:r>
      <w:r>
        <w:tab/>
      </w:r>
    </w:p>
    <w:p w14:paraId="36680D9F" w14:textId="77777777" w:rsidR="000D528D" w:rsidRDefault="000D528D" w:rsidP="000D528D">
      <w:r>
        <w:tab/>
      </w:r>
      <w:r>
        <w:tab/>
      </w:r>
      <w:r>
        <w:tab/>
      </w:r>
      <w:r>
        <w:tab/>
      </w:r>
      <w:r>
        <w:tab/>
      </w:r>
    </w:p>
    <w:p w14:paraId="50DF67E0" w14:textId="77777777" w:rsidR="000D528D" w:rsidRDefault="000D528D" w:rsidP="000D528D">
      <w:r>
        <w:tab/>
      </w:r>
      <w:r>
        <w:tab/>
      </w:r>
      <w:r>
        <w:tab/>
      </w:r>
      <w:r>
        <w:tab/>
      </w:r>
      <w:r>
        <w:tab/>
      </w:r>
    </w:p>
    <w:p w14:paraId="25A0D16C" w14:textId="77777777" w:rsidR="000D528D" w:rsidRDefault="000D528D" w:rsidP="000D528D">
      <w:r>
        <w:tab/>
      </w:r>
      <w:r>
        <w:tab/>
      </w:r>
      <w:r>
        <w:tab/>
      </w:r>
      <w:r>
        <w:tab/>
      </w:r>
      <w:r>
        <w:tab/>
      </w:r>
    </w:p>
    <w:p w14:paraId="258ED5EE" w14:textId="77777777" w:rsidR="000D528D" w:rsidRDefault="000D528D" w:rsidP="000D528D">
      <w:r>
        <w:lastRenderedPageBreak/>
        <w:tab/>
      </w:r>
      <w:r>
        <w:tab/>
      </w:r>
      <w:r>
        <w:tab/>
      </w:r>
      <w:r>
        <w:tab/>
      </w:r>
      <w:r>
        <w:tab/>
      </w:r>
    </w:p>
    <w:p w14:paraId="73B1E00D" w14:textId="77777777" w:rsidR="008B5CEE" w:rsidRDefault="000D528D" w:rsidP="000D528D">
      <w:r>
        <w:tab/>
      </w:r>
      <w:r>
        <w:tab/>
      </w:r>
      <w:r>
        <w:tab/>
      </w:r>
      <w:r>
        <w:tab/>
      </w:r>
      <w:r>
        <w:tab/>
      </w:r>
    </w:p>
    <w:sectPr w:rsidR="008B5CEE" w:rsidSect="00C82AE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63001"/>
    <w:multiLevelType w:val="hybridMultilevel"/>
    <w:tmpl w:val="80F47F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4AD8758C"/>
    <w:multiLevelType w:val="hybridMultilevel"/>
    <w:tmpl w:val="B2F29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EF151F3"/>
    <w:multiLevelType w:val="hybridMultilevel"/>
    <w:tmpl w:val="59B293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D93"/>
    <w:rsid w:val="00044CE5"/>
    <w:rsid w:val="0005231F"/>
    <w:rsid w:val="00096F08"/>
    <w:rsid w:val="00097D93"/>
    <w:rsid w:val="000A58CD"/>
    <w:rsid w:val="000C3623"/>
    <w:rsid w:val="000D528D"/>
    <w:rsid w:val="00144C94"/>
    <w:rsid w:val="001B4393"/>
    <w:rsid w:val="00257A0C"/>
    <w:rsid w:val="00270B09"/>
    <w:rsid w:val="002F0A4F"/>
    <w:rsid w:val="00360E9E"/>
    <w:rsid w:val="005838E1"/>
    <w:rsid w:val="005B0308"/>
    <w:rsid w:val="005D0AFD"/>
    <w:rsid w:val="006515D8"/>
    <w:rsid w:val="006C5F92"/>
    <w:rsid w:val="00731723"/>
    <w:rsid w:val="0076682F"/>
    <w:rsid w:val="00792EF2"/>
    <w:rsid w:val="008B5CEE"/>
    <w:rsid w:val="008E4330"/>
    <w:rsid w:val="0097066C"/>
    <w:rsid w:val="009C27AB"/>
    <w:rsid w:val="009F3B26"/>
    <w:rsid w:val="00A11DD6"/>
    <w:rsid w:val="00A61C41"/>
    <w:rsid w:val="00A73856"/>
    <w:rsid w:val="00B4303F"/>
    <w:rsid w:val="00B470F2"/>
    <w:rsid w:val="00B47876"/>
    <w:rsid w:val="00C26119"/>
    <w:rsid w:val="00C63351"/>
    <w:rsid w:val="00C82AE0"/>
    <w:rsid w:val="00CC3574"/>
    <w:rsid w:val="00CF4FEA"/>
    <w:rsid w:val="00D46EF1"/>
    <w:rsid w:val="00D63461"/>
    <w:rsid w:val="00DA1186"/>
    <w:rsid w:val="00DE08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FD7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5C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5CE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7D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8B5CE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B5CEE"/>
    <w:rPr>
      <w:rFonts w:asciiTheme="majorHAnsi" w:eastAsiaTheme="majorEastAsia" w:hAnsiTheme="majorHAnsi" w:cstheme="majorBidi"/>
      <w:b/>
      <w:bCs/>
      <w:color w:val="365F91" w:themeColor="accent1" w:themeShade="BF"/>
      <w:sz w:val="28"/>
      <w:szCs w:val="28"/>
    </w:rPr>
  </w:style>
  <w:style w:type="character" w:customStyle="1" w:styleId="style6">
    <w:name w:val="style6"/>
    <w:basedOn w:val="DefaultParagraphFont"/>
    <w:rsid w:val="008B5CEE"/>
  </w:style>
  <w:style w:type="paragraph" w:customStyle="1" w:styleId="style61">
    <w:name w:val="style61"/>
    <w:basedOn w:val="Normal"/>
    <w:rsid w:val="008B5C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D528D"/>
    <w:pPr>
      <w:ind w:left="720"/>
      <w:contextualSpacing/>
    </w:pPr>
  </w:style>
  <w:style w:type="paragraph" w:styleId="BalloonText">
    <w:name w:val="Balloon Text"/>
    <w:basedOn w:val="Normal"/>
    <w:link w:val="BalloonTextChar"/>
    <w:uiPriority w:val="99"/>
    <w:semiHidden/>
    <w:unhideWhenUsed/>
    <w:rsid w:val="00970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66C"/>
    <w:rPr>
      <w:rFonts w:ascii="Tahoma" w:hAnsi="Tahoma" w:cs="Tahoma"/>
      <w:sz w:val="16"/>
      <w:szCs w:val="16"/>
    </w:rPr>
  </w:style>
  <w:style w:type="character" w:styleId="CommentReference">
    <w:name w:val="annotation reference"/>
    <w:basedOn w:val="DefaultParagraphFont"/>
    <w:uiPriority w:val="99"/>
    <w:semiHidden/>
    <w:unhideWhenUsed/>
    <w:rsid w:val="0097066C"/>
    <w:rPr>
      <w:sz w:val="16"/>
      <w:szCs w:val="16"/>
    </w:rPr>
  </w:style>
  <w:style w:type="paragraph" w:styleId="CommentText">
    <w:name w:val="annotation text"/>
    <w:basedOn w:val="Normal"/>
    <w:link w:val="CommentTextChar"/>
    <w:uiPriority w:val="99"/>
    <w:semiHidden/>
    <w:unhideWhenUsed/>
    <w:rsid w:val="0097066C"/>
    <w:pPr>
      <w:spacing w:line="240" w:lineRule="auto"/>
    </w:pPr>
    <w:rPr>
      <w:sz w:val="20"/>
      <w:szCs w:val="20"/>
    </w:rPr>
  </w:style>
  <w:style w:type="character" w:customStyle="1" w:styleId="CommentTextChar">
    <w:name w:val="Comment Text Char"/>
    <w:basedOn w:val="DefaultParagraphFont"/>
    <w:link w:val="CommentText"/>
    <w:uiPriority w:val="99"/>
    <w:semiHidden/>
    <w:rsid w:val="0097066C"/>
    <w:rPr>
      <w:sz w:val="20"/>
      <w:szCs w:val="20"/>
    </w:rPr>
  </w:style>
  <w:style w:type="paragraph" w:styleId="CommentSubject">
    <w:name w:val="annotation subject"/>
    <w:basedOn w:val="CommentText"/>
    <w:next w:val="CommentText"/>
    <w:link w:val="CommentSubjectChar"/>
    <w:uiPriority w:val="99"/>
    <w:semiHidden/>
    <w:unhideWhenUsed/>
    <w:rsid w:val="0097066C"/>
    <w:rPr>
      <w:b/>
      <w:bCs/>
    </w:rPr>
  </w:style>
  <w:style w:type="character" w:customStyle="1" w:styleId="CommentSubjectChar">
    <w:name w:val="Comment Subject Char"/>
    <w:basedOn w:val="CommentTextChar"/>
    <w:link w:val="CommentSubject"/>
    <w:uiPriority w:val="99"/>
    <w:semiHidden/>
    <w:rsid w:val="0097066C"/>
    <w:rPr>
      <w:b/>
      <w:bCs/>
      <w:sz w:val="20"/>
      <w:szCs w:val="20"/>
    </w:rPr>
  </w:style>
  <w:style w:type="character" w:styleId="Hyperlink">
    <w:name w:val="Hyperlink"/>
    <w:basedOn w:val="DefaultParagraphFont"/>
    <w:uiPriority w:val="99"/>
    <w:unhideWhenUsed/>
    <w:rsid w:val="006515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5C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5CE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7D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8B5CE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B5CEE"/>
    <w:rPr>
      <w:rFonts w:asciiTheme="majorHAnsi" w:eastAsiaTheme="majorEastAsia" w:hAnsiTheme="majorHAnsi" w:cstheme="majorBidi"/>
      <w:b/>
      <w:bCs/>
      <w:color w:val="365F91" w:themeColor="accent1" w:themeShade="BF"/>
      <w:sz w:val="28"/>
      <w:szCs w:val="28"/>
    </w:rPr>
  </w:style>
  <w:style w:type="character" w:customStyle="1" w:styleId="style6">
    <w:name w:val="style6"/>
    <w:basedOn w:val="DefaultParagraphFont"/>
    <w:rsid w:val="008B5CEE"/>
  </w:style>
  <w:style w:type="paragraph" w:customStyle="1" w:styleId="style61">
    <w:name w:val="style61"/>
    <w:basedOn w:val="Normal"/>
    <w:rsid w:val="008B5C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D528D"/>
    <w:pPr>
      <w:ind w:left="720"/>
      <w:contextualSpacing/>
    </w:pPr>
  </w:style>
  <w:style w:type="paragraph" w:styleId="BalloonText">
    <w:name w:val="Balloon Text"/>
    <w:basedOn w:val="Normal"/>
    <w:link w:val="BalloonTextChar"/>
    <w:uiPriority w:val="99"/>
    <w:semiHidden/>
    <w:unhideWhenUsed/>
    <w:rsid w:val="00970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66C"/>
    <w:rPr>
      <w:rFonts w:ascii="Tahoma" w:hAnsi="Tahoma" w:cs="Tahoma"/>
      <w:sz w:val="16"/>
      <w:szCs w:val="16"/>
    </w:rPr>
  </w:style>
  <w:style w:type="character" w:styleId="CommentReference">
    <w:name w:val="annotation reference"/>
    <w:basedOn w:val="DefaultParagraphFont"/>
    <w:uiPriority w:val="99"/>
    <w:semiHidden/>
    <w:unhideWhenUsed/>
    <w:rsid w:val="0097066C"/>
    <w:rPr>
      <w:sz w:val="16"/>
      <w:szCs w:val="16"/>
    </w:rPr>
  </w:style>
  <w:style w:type="paragraph" w:styleId="CommentText">
    <w:name w:val="annotation text"/>
    <w:basedOn w:val="Normal"/>
    <w:link w:val="CommentTextChar"/>
    <w:uiPriority w:val="99"/>
    <w:semiHidden/>
    <w:unhideWhenUsed/>
    <w:rsid w:val="0097066C"/>
    <w:pPr>
      <w:spacing w:line="240" w:lineRule="auto"/>
    </w:pPr>
    <w:rPr>
      <w:sz w:val="20"/>
      <w:szCs w:val="20"/>
    </w:rPr>
  </w:style>
  <w:style w:type="character" w:customStyle="1" w:styleId="CommentTextChar">
    <w:name w:val="Comment Text Char"/>
    <w:basedOn w:val="DefaultParagraphFont"/>
    <w:link w:val="CommentText"/>
    <w:uiPriority w:val="99"/>
    <w:semiHidden/>
    <w:rsid w:val="0097066C"/>
    <w:rPr>
      <w:sz w:val="20"/>
      <w:szCs w:val="20"/>
    </w:rPr>
  </w:style>
  <w:style w:type="paragraph" w:styleId="CommentSubject">
    <w:name w:val="annotation subject"/>
    <w:basedOn w:val="CommentText"/>
    <w:next w:val="CommentText"/>
    <w:link w:val="CommentSubjectChar"/>
    <w:uiPriority w:val="99"/>
    <w:semiHidden/>
    <w:unhideWhenUsed/>
    <w:rsid w:val="0097066C"/>
    <w:rPr>
      <w:b/>
      <w:bCs/>
    </w:rPr>
  </w:style>
  <w:style w:type="character" w:customStyle="1" w:styleId="CommentSubjectChar">
    <w:name w:val="Comment Subject Char"/>
    <w:basedOn w:val="CommentTextChar"/>
    <w:link w:val="CommentSubject"/>
    <w:uiPriority w:val="99"/>
    <w:semiHidden/>
    <w:rsid w:val="0097066C"/>
    <w:rPr>
      <w:b/>
      <w:bCs/>
      <w:sz w:val="20"/>
      <w:szCs w:val="20"/>
    </w:rPr>
  </w:style>
  <w:style w:type="character" w:styleId="Hyperlink">
    <w:name w:val="Hyperlink"/>
    <w:basedOn w:val="DefaultParagraphFont"/>
    <w:uiPriority w:val="99"/>
    <w:unhideWhenUsed/>
    <w:rsid w:val="006515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734135">
      <w:bodyDiv w:val="1"/>
      <w:marLeft w:val="0"/>
      <w:marRight w:val="0"/>
      <w:marTop w:val="0"/>
      <w:marBottom w:val="0"/>
      <w:divBdr>
        <w:top w:val="none" w:sz="0" w:space="0" w:color="auto"/>
        <w:left w:val="none" w:sz="0" w:space="0" w:color="auto"/>
        <w:bottom w:val="none" w:sz="0" w:space="0" w:color="auto"/>
        <w:right w:val="none" w:sz="0" w:space="0" w:color="auto"/>
      </w:divBdr>
    </w:div>
    <w:div w:id="905576466">
      <w:bodyDiv w:val="1"/>
      <w:marLeft w:val="0"/>
      <w:marRight w:val="0"/>
      <w:marTop w:val="0"/>
      <w:marBottom w:val="0"/>
      <w:divBdr>
        <w:top w:val="none" w:sz="0" w:space="0" w:color="auto"/>
        <w:left w:val="none" w:sz="0" w:space="0" w:color="auto"/>
        <w:bottom w:val="none" w:sz="0" w:space="0" w:color="auto"/>
        <w:right w:val="none" w:sz="0" w:space="0" w:color="auto"/>
      </w:divBdr>
    </w:div>
    <w:div w:id="122749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ocs.moodle.org/dev/Updat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9B642-8F18-4CA3-829F-33981EA6B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RITCHIE Mark</dc:creator>
  <cp:lastModifiedBy>FRANCESCHI Maurice</cp:lastModifiedBy>
  <cp:revision>9</cp:revision>
  <dcterms:created xsi:type="dcterms:W3CDTF">2013-11-12T13:30:00Z</dcterms:created>
  <dcterms:modified xsi:type="dcterms:W3CDTF">2013-11-29T09:10:00Z</dcterms:modified>
</cp:coreProperties>
</file>