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330" w:rsidRDefault="00097D93" w:rsidP="00C61C6D">
      <w:pPr>
        <w:pStyle w:val="Heading1"/>
      </w:pPr>
      <w:r w:rsidRPr="00097D93">
        <w:t xml:space="preserve">IS Applications </w:t>
      </w:r>
      <w:r w:rsidR="00DE0845">
        <w:t>3 Year Roll</w:t>
      </w:r>
      <w:bookmarkStart w:id="0" w:name="_GoBack"/>
      <w:bookmarkEnd w:id="0"/>
      <w:r w:rsidR="00DE0845">
        <w:t>ing</w:t>
      </w:r>
      <w:r w:rsidR="00DE0845" w:rsidRPr="00097D93">
        <w:t xml:space="preserve"> </w:t>
      </w:r>
      <w:r w:rsidRPr="00097D93">
        <w:t>Planning 201</w:t>
      </w:r>
      <w:r w:rsidR="00DE0845">
        <w:t>4</w:t>
      </w:r>
      <w:r w:rsidRPr="00097D93">
        <w:t>/1</w:t>
      </w:r>
      <w:r w:rsidR="00DE0845">
        <w:t>5 to 2016/17</w:t>
      </w:r>
    </w:p>
    <w:p w:rsidR="009F3B26" w:rsidRPr="009F3B26" w:rsidRDefault="008B5CEE" w:rsidP="009C27AB">
      <w:pPr>
        <w:pStyle w:val="Heading2"/>
      </w:pPr>
      <w:r>
        <w:t>Proposal Suggestion Template</w:t>
      </w:r>
    </w:p>
    <w:tbl>
      <w:tblPr>
        <w:tblStyle w:val="TableGrid"/>
        <w:tblW w:w="0" w:type="auto"/>
        <w:tblLook w:val="04A0" w:firstRow="1" w:lastRow="0" w:firstColumn="1" w:lastColumn="0" w:noHBand="0" w:noVBand="1"/>
      </w:tblPr>
      <w:tblGrid>
        <w:gridCol w:w="2093"/>
        <w:gridCol w:w="2977"/>
        <w:gridCol w:w="1842"/>
        <w:gridCol w:w="1843"/>
        <w:gridCol w:w="1843"/>
      </w:tblGrid>
      <w:tr w:rsidR="000D528D" w:rsidRPr="008B5CEE" w:rsidTr="000C3623">
        <w:tc>
          <w:tcPr>
            <w:tcW w:w="2093" w:type="dxa"/>
            <w:shd w:val="clear" w:color="auto" w:fill="D9D9D9" w:themeFill="background1" w:themeFillShade="D9"/>
          </w:tcPr>
          <w:p w:rsidR="009F3B26" w:rsidRPr="00097D93" w:rsidRDefault="009F3B26" w:rsidP="00C26119">
            <w:pPr>
              <w:rPr>
                <w:sz w:val="24"/>
                <w:szCs w:val="24"/>
              </w:rPr>
            </w:pPr>
            <w:r>
              <w:rPr>
                <w:sz w:val="24"/>
                <w:szCs w:val="24"/>
              </w:rPr>
              <w:t>Programme</w:t>
            </w:r>
          </w:p>
        </w:tc>
        <w:tc>
          <w:tcPr>
            <w:tcW w:w="4819" w:type="dxa"/>
            <w:gridSpan w:val="2"/>
          </w:tcPr>
          <w:p w:rsidR="009F3B26" w:rsidRPr="008B5CEE" w:rsidRDefault="00C61C6D" w:rsidP="00C26119">
            <w:pPr>
              <w:rPr>
                <w:i/>
              </w:rPr>
            </w:pPr>
            <w:r>
              <w:rPr>
                <w:i/>
              </w:rPr>
              <w:t>Technology Enhanced Learning</w:t>
            </w:r>
          </w:p>
        </w:tc>
        <w:tc>
          <w:tcPr>
            <w:tcW w:w="1843" w:type="dxa"/>
            <w:shd w:val="clear" w:color="auto" w:fill="D9D9D9" w:themeFill="background1" w:themeFillShade="D9"/>
          </w:tcPr>
          <w:p w:rsidR="009F3B26" w:rsidRPr="005D0AFD" w:rsidRDefault="009F3B26" w:rsidP="00C26119">
            <w:pPr>
              <w:rPr>
                <w:sz w:val="24"/>
                <w:szCs w:val="24"/>
              </w:rPr>
            </w:pPr>
            <w:r w:rsidRPr="005D0AFD">
              <w:rPr>
                <w:sz w:val="24"/>
                <w:szCs w:val="24"/>
              </w:rPr>
              <w:t>Programme Priority</w:t>
            </w:r>
          </w:p>
        </w:tc>
        <w:tc>
          <w:tcPr>
            <w:tcW w:w="1843" w:type="dxa"/>
          </w:tcPr>
          <w:p w:rsidR="009F3B26" w:rsidRPr="008B5CEE" w:rsidRDefault="009C02AF" w:rsidP="009C02AF">
            <w:pPr>
              <w:rPr>
                <w:i/>
              </w:rPr>
            </w:pPr>
            <w:r>
              <w:rPr>
                <w:i/>
              </w:rPr>
              <w:t>2</w:t>
            </w:r>
          </w:p>
        </w:tc>
      </w:tr>
      <w:tr w:rsidR="001B4393" w:rsidRPr="008B5CEE" w:rsidTr="000C3623">
        <w:tc>
          <w:tcPr>
            <w:tcW w:w="2093" w:type="dxa"/>
            <w:shd w:val="clear" w:color="auto" w:fill="D9D9D9" w:themeFill="background1" w:themeFillShade="D9"/>
          </w:tcPr>
          <w:p w:rsidR="001B4393" w:rsidRDefault="001B4393" w:rsidP="00C26119">
            <w:pPr>
              <w:rPr>
                <w:sz w:val="24"/>
                <w:szCs w:val="24"/>
              </w:rPr>
            </w:pPr>
            <w:r>
              <w:rPr>
                <w:sz w:val="24"/>
                <w:szCs w:val="24"/>
              </w:rPr>
              <w:t>Portfolio</w:t>
            </w:r>
          </w:p>
        </w:tc>
        <w:tc>
          <w:tcPr>
            <w:tcW w:w="4819" w:type="dxa"/>
            <w:gridSpan w:val="2"/>
          </w:tcPr>
          <w:p w:rsidR="001B4393" w:rsidRPr="008B5CEE" w:rsidRDefault="00C61C6D" w:rsidP="00C26119">
            <w:pPr>
              <w:rPr>
                <w:i/>
              </w:rPr>
            </w:pPr>
            <w:r>
              <w:rPr>
                <w:i/>
              </w:rPr>
              <w:t>ISG</w:t>
            </w:r>
          </w:p>
        </w:tc>
        <w:tc>
          <w:tcPr>
            <w:tcW w:w="1843" w:type="dxa"/>
            <w:shd w:val="clear" w:color="auto" w:fill="D9D9D9" w:themeFill="background1" w:themeFillShade="D9"/>
          </w:tcPr>
          <w:p w:rsidR="001B4393" w:rsidRPr="005D0AFD" w:rsidRDefault="001B4393" w:rsidP="00C26119">
            <w:pPr>
              <w:rPr>
                <w:sz w:val="24"/>
                <w:szCs w:val="24"/>
              </w:rPr>
            </w:pPr>
            <w:r w:rsidRPr="005D0AFD">
              <w:rPr>
                <w:sz w:val="24"/>
                <w:szCs w:val="24"/>
              </w:rPr>
              <w:t>Portfolio Priorit</w:t>
            </w:r>
            <w:r w:rsidR="005D0AFD" w:rsidRPr="005D0AFD">
              <w:rPr>
                <w:sz w:val="24"/>
                <w:szCs w:val="24"/>
              </w:rPr>
              <w:t>y</w:t>
            </w:r>
          </w:p>
        </w:tc>
        <w:tc>
          <w:tcPr>
            <w:tcW w:w="1843" w:type="dxa"/>
          </w:tcPr>
          <w:p w:rsidR="001B4393" w:rsidRPr="008B5CEE" w:rsidRDefault="001B4393" w:rsidP="00C26119">
            <w:pPr>
              <w:rPr>
                <w:i/>
              </w:rPr>
            </w:pPr>
          </w:p>
        </w:tc>
      </w:tr>
      <w:tr w:rsidR="008B5CEE" w:rsidRPr="00097D93" w:rsidTr="000C3623">
        <w:tc>
          <w:tcPr>
            <w:tcW w:w="2093" w:type="dxa"/>
            <w:shd w:val="clear" w:color="auto" w:fill="D9D9D9" w:themeFill="background1" w:themeFillShade="D9"/>
          </w:tcPr>
          <w:p w:rsidR="008B5CEE" w:rsidRPr="00097D93" w:rsidRDefault="009F3B26" w:rsidP="00C26119">
            <w:pPr>
              <w:rPr>
                <w:sz w:val="24"/>
                <w:szCs w:val="24"/>
              </w:rPr>
            </w:pPr>
            <w:r>
              <w:rPr>
                <w:sz w:val="24"/>
                <w:szCs w:val="24"/>
              </w:rPr>
              <w:t>Proposal Name</w:t>
            </w:r>
          </w:p>
        </w:tc>
        <w:tc>
          <w:tcPr>
            <w:tcW w:w="8505" w:type="dxa"/>
            <w:gridSpan w:val="4"/>
          </w:tcPr>
          <w:p w:rsidR="00044CE5" w:rsidRDefault="00C61C6D" w:rsidP="00C26119">
            <w:pPr>
              <w:rPr>
                <w:i/>
              </w:rPr>
            </w:pPr>
            <w:r>
              <w:rPr>
                <w:i/>
              </w:rPr>
              <w:t>Technology Enhanced Learning Management Information</w:t>
            </w:r>
          </w:p>
          <w:p w:rsidR="00C61C6D" w:rsidRPr="008B5CEE" w:rsidRDefault="00C61C6D" w:rsidP="00C26119">
            <w:pPr>
              <w:rPr>
                <w:i/>
              </w:rPr>
            </w:pPr>
          </w:p>
        </w:tc>
      </w:tr>
      <w:tr w:rsidR="008B5CEE" w:rsidRPr="00097D93" w:rsidTr="000C3623">
        <w:tc>
          <w:tcPr>
            <w:tcW w:w="2093" w:type="dxa"/>
            <w:shd w:val="clear" w:color="auto" w:fill="D9D9D9" w:themeFill="background1" w:themeFillShade="D9"/>
          </w:tcPr>
          <w:p w:rsidR="008B5CEE" w:rsidRDefault="00B4303F" w:rsidP="00C26119">
            <w:pPr>
              <w:rPr>
                <w:sz w:val="24"/>
                <w:szCs w:val="24"/>
              </w:rPr>
            </w:pPr>
            <w:r>
              <w:rPr>
                <w:sz w:val="24"/>
                <w:szCs w:val="24"/>
              </w:rPr>
              <w:t>Proposal Sponsor</w:t>
            </w:r>
          </w:p>
        </w:tc>
        <w:tc>
          <w:tcPr>
            <w:tcW w:w="8505" w:type="dxa"/>
            <w:gridSpan w:val="4"/>
          </w:tcPr>
          <w:p w:rsidR="008B5CEE" w:rsidRDefault="00C61C6D" w:rsidP="00C26119">
            <w:pPr>
              <w:rPr>
                <w:i/>
              </w:rPr>
            </w:pPr>
            <w:r>
              <w:rPr>
                <w:i/>
              </w:rPr>
              <w:t xml:space="preserve">Anne-Marie Scott / Mark </w:t>
            </w:r>
            <w:proofErr w:type="spellStart"/>
            <w:r>
              <w:rPr>
                <w:i/>
              </w:rPr>
              <w:t>Wetton</w:t>
            </w:r>
            <w:proofErr w:type="spellEnd"/>
          </w:p>
          <w:p w:rsidR="000C3623" w:rsidRPr="008B5CEE" w:rsidRDefault="000C3623" w:rsidP="00C26119">
            <w:pPr>
              <w:rPr>
                <w:i/>
              </w:rPr>
            </w:pPr>
          </w:p>
        </w:tc>
      </w:tr>
      <w:tr w:rsidR="009C27AB" w:rsidRPr="00097D93" w:rsidTr="000C3623">
        <w:tc>
          <w:tcPr>
            <w:tcW w:w="2093" w:type="dxa"/>
            <w:shd w:val="clear" w:color="auto" w:fill="D9D9D9" w:themeFill="background1" w:themeFillShade="D9"/>
          </w:tcPr>
          <w:p w:rsidR="009C27AB" w:rsidRDefault="009C27AB" w:rsidP="00C26119">
            <w:pPr>
              <w:rPr>
                <w:sz w:val="24"/>
                <w:szCs w:val="24"/>
              </w:rPr>
            </w:pPr>
            <w:r>
              <w:rPr>
                <w:sz w:val="24"/>
                <w:szCs w:val="24"/>
              </w:rPr>
              <w:t>Other Contributors</w:t>
            </w:r>
          </w:p>
        </w:tc>
        <w:tc>
          <w:tcPr>
            <w:tcW w:w="8505" w:type="dxa"/>
            <w:gridSpan w:val="4"/>
          </w:tcPr>
          <w:p w:rsidR="009C27AB" w:rsidRDefault="009C27AB" w:rsidP="00C26119">
            <w:pPr>
              <w:rPr>
                <w:i/>
              </w:rPr>
            </w:pPr>
          </w:p>
          <w:p w:rsidR="000C3623" w:rsidRPr="008B5CEE" w:rsidRDefault="000C3623" w:rsidP="00C26119">
            <w:pPr>
              <w:rPr>
                <w:i/>
              </w:rPr>
            </w:pPr>
          </w:p>
        </w:tc>
      </w:tr>
      <w:tr w:rsidR="009F3B26" w:rsidRPr="00097D93" w:rsidTr="000C3623">
        <w:trPr>
          <w:trHeight w:val="988"/>
        </w:trPr>
        <w:tc>
          <w:tcPr>
            <w:tcW w:w="2093" w:type="dxa"/>
            <w:shd w:val="clear" w:color="auto" w:fill="D9D9D9" w:themeFill="background1" w:themeFillShade="D9"/>
          </w:tcPr>
          <w:p w:rsidR="009F3B26" w:rsidRDefault="0097066C" w:rsidP="00C26119">
            <w:pPr>
              <w:rPr>
                <w:sz w:val="24"/>
                <w:szCs w:val="24"/>
              </w:rPr>
            </w:pPr>
            <w:r>
              <w:rPr>
                <w:sz w:val="24"/>
                <w:szCs w:val="24"/>
              </w:rPr>
              <w:t>What it is</w:t>
            </w:r>
          </w:p>
        </w:tc>
        <w:tc>
          <w:tcPr>
            <w:tcW w:w="8505" w:type="dxa"/>
            <w:gridSpan w:val="4"/>
          </w:tcPr>
          <w:p w:rsidR="00C61C6D" w:rsidRDefault="00C61C6D" w:rsidP="00C61C6D">
            <w:r>
              <w:t xml:space="preserve">This project will deliver a management information reporting solution that Schools and IS can use to understand the breadth and depth of engagement with IS Technology Enhanced Learning Services. It will be possible to see the picture at individual School level, at College level, or for the institution as a whole. </w:t>
            </w:r>
          </w:p>
          <w:p w:rsidR="00C61C6D" w:rsidRDefault="00C61C6D" w:rsidP="00C61C6D"/>
          <w:p w:rsidR="00C61C6D" w:rsidRDefault="00C61C6D" w:rsidP="00C61C6D">
            <w:r>
              <w:t>The solution will be web based, and will be something that facilitates a mixture of automated data collection where APIs exist, and manual data upload where they do not. Manual data upload could be via a CSV upload, facilitated by Production Management (likely 4 times a year max).</w:t>
            </w:r>
          </w:p>
          <w:p w:rsidR="00C61C6D" w:rsidRDefault="00C61C6D" w:rsidP="00C61C6D"/>
          <w:p w:rsidR="00C61C6D" w:rsidRDefault="00C61C6D" w:rsidP="00C61C6D">
            <w:r>
              <w:t xml:space="preserve">IS TELS provide a diverse portfolio of services to Schools, comprised of a mixture of local and cloud hosted services, based on supplier or open source solutions. Reporting capabilities in each of these tools are stand alone, and many are only accessible via a user interface. Whilst we are able to summarise usage at the level of the institution, many of the tools only provide reporting at the level of a whole system or an individual course, and have no capability to provide reporting at School level. This makes it very difficult for individual Schools to get any sense of the picture of engagement with TEL services within their area. </w:t>
            </w:r>
          </w:p>
          <w:p w:rsidR="00C61C6D" w:rsidRDefault="00C61C6D" w:rsidP="00C61C6D"/>
          <w:p w:rsidR="009F3B26" w:rsidRPr="008B5CEE" w:rsidRDefault="00C61C6D" w:rsidP="00C61C6D">
            <w:pPr>
              <w:rPr>
                <w:i/>
              </w:rPr>
            </w:pPr>
            <w:r>
              <w:t>In 2013/14 we will produce a first version of a School based report, and consult with Schools to gather requirements around format/presentation. In 2014/15 we want to turn this into a regularly updated reporting tool that Schools can interrogate themselves.</w:t>
            </w:r>
          </w:p>
        </w:tc>
      </w:tr>
      <w:tr w:rsidR="0097066C" w:rsidRPr="00097D93" w:rsidTr="000C3623">
        <w:tc>
          <w:tcPr>
            <w:tcW w:w="2093" w:type="dxa"/>
            <w:shd w:val="clear" w:color="auto" w:fill="D9D9D9" w:themeFill="background1" w:themeFillShade="D9"/>
          </w:tcPr>
          <w:p w:rsidR="005D0AFD" w:rsidRDefault="0097066C" w:rsidP="0097066C">
            <w:pPr>
              <w:rPr>
                <w:sz w:val="24"/>
                <w:szCs w:val="24"/>
              </w:rPr>
            </w:pPr>
            <w:r>
              <w:rPr>
                <w:sz w:val="24"/>
                <w:szCs w:val="24"/>
              </w:rPr>
              <w:t>Why it is needed</w:t>
            </w:r>
            <w:r w:rsidR="001B4393">
              <w:rPr>
                <w:sz w:val="24"/>
                <w:szCs w:val="24"/>
              </w:rPr>
              <w:t xml:space="preserve"> / what the benefits are</w:t>
            </w:r>
            <w:r>
              <w:rPr>
                <w:sz w:val="24"/>
                <w:szCs w:val="24"/>
              </w:rPr>
              <w:br/>
            </w:r>
          </w:p>
        </w:tc>
        <w:tc>
          <w:tcPr>
            <w:tcW w:w="8505" w:type="dxa"/>
            <w:gridSpan w:val="4"/>
          </w:tcPr>
          <w:p w:rsidR="00C61C6D" w:rsidRDefault="00C61C6D" w:rsidP="00C61C6D">
            <w:r>
              <w:t xml:space="preserve">Schools need better management information about engagement with IS Technology Enhanced Learning services in order to make decisions about staff development and recruitment. At the moment no School can accurately answer questions such as how many courses run online assessments; how many courses use digital marking tools; or even how many courses use Learn versus Moodle; or no VLE at all. We believe that usage of TELS in Schools is more significant than is realised given what we see at institutional level, but the picture for the Schools needs to be local to be more meaningful. </w:t>
            </w:r>
          </w:p>
          <w:p w:rsidR="00C61C6D" w:rsidRDefault="00C61C6D" w:rsidP="00C61C6D"/>
          <w:p w:rsidR="00BE3EFE" w:rsidRPr="00C61C6D" w:rsidRDefault="00C61C6D" w:rsidP="00DA1186">
            <w:r>
              <w:t>This project is related directly to the “Consult and engage Schools in developing learning technology MI reports for Schools L&amp;T committees.” activity in the IS TELS strategy.</w:t>
            </w:r>
          </w:p>
        </w:tc>
      </w:tr>
      <w:tr w:rsidR="00DE0845" w:rsidRPr="00097D93" w:rsidTr="000C3623">
        <w:tc>
          <w:tcPr>
            <w:tcW w:w="2093" w:type="dxa"/>
            <w:shd w:val="clear" w:color="auto" w:fill="D9D9D9" w:themeFill="background1" w:themeFillShade="D9"/>
          </w:tcPr>
          <w:p w:rsidR="00DE0845" w:rsidRDefault="00DE0845" w:rsidP="0097066C">
            <w:pPr>
              <w:rPr>
                <w:sz w:val="24"/>
                <w:szCs w:val="24"/>
              </w:rPr>
            </w:pPr>
            <w:r>
              <w:rPr>
                <w:sz w:val="24"/>
                <w:szCs w:val="24"/>
              </w:rPr>
              <w:t>When is it needed</w:t>
            </w:r>
          </w:p>
        </w:tc>
        <w:tc>
          <w:tcPr>
            <w:tcW w:w="8505" w:type="dxa"/>
            <w:gridSpan w:val="4"/>
          </w:tcPr>
          <w:p w:rsidR="00DE0845" w:rsidRDefault="00C61C6D" w:rsidP="00C26119">
            <w:pPr>
              <w:rPr>
                <w:i/>
              </w:rPr>
            </w:pPr>
            <w:r>
              <w:rPr>
                <w:i/>
              </w:rPr>
              <w:t>Start Year: 2014/15</w:t>
            </w:r>
          </w:p>
          <w:p w:rsidR="00DE0845" w:rsidRDefault="00DE0845" w:rsidP="00C26119">
            <w:pPr>
              <w:rPr>
                <w:i/>
              </w:rPr>
            </w:pPr>
            <w:r>
              <w:rPr>
                <w:i/>
              </w:rPr>
              <w:t xml:space="preserve">Duration (No. of Years): </w:t>
            </w:r>
            <w:r w:rsidR="00C61C6D">
              <w:rPr>
                <w:i/>
              </w:rPr>
              <w:t>1</w:t>
            </w:r>
          </w:p>
          <w:p w:rsidR="00DE0845" w:rsidRPr="00044CE5" w:rsidRDefault="00DE0845" w:rsidP="00C26119">
            <w:pPr>
              <w:rPr>
                <w:i/>
              </w:rPr>
            </w:pPr>
          </w:p>
        </w:tc>
      </w:tr>
      <w:tr w:rsidR="002045FB" w:rsidRPr="00097D93" w:rsidTr="004E5ABA">
        <w:tc>
          <w:tcPr>
            <w:tcW w:w="2093" w:type="dxa"/>
            <w:shd w:val="clear" w:color="auto" w:fill="D9D9D9" w:themeFill="background1" w:themeFillShade="D9"/>
          </w:tcPr>
          <w:p w:rsidR="002045FB" w:rsidRDefault="002045FB" w:rsidP="004E5ABA">
            <w:pPr>
              <w:rPr>
                <w:sz w:val="24"/>
                <w:szCs w:val="24"/>
              </w:rPr>
            </w:pPr>
            <w:r w:rsidRPr="00BB165D">
              <w:rPr>
                <w:sz w:val="24"/>
                <w:szCs w:val="24"/>
              </w:rPr>
              <w:t>Type of work</w:t>
            </w:r>
            <w:r>
              <w:rPr>
                <w:sz w:val="24"/>
                <w:szCs w:val="24"/>
              </w:rPr>
              <w:t xml:space="preserve"> </w:t>
            </w:r>
          </w:p>
        </w:tc>
        <w:tc>
          <w:tcPr>
            <w:tcW w:w="2977" w:type="dxa"/>
          </w:tcPr>
          <w:p w:rsidR="002045FB" w:rsidRPr="008B5CEE" w:rsidRDefault="002045FB" w:rsidP="004E5ABA">
            <w:pPr>
              <w:rPr>
                <w:i/>
              </w:rPr>
            </w:pPr>
            <w:r w:rsidRPr="00BB165D">
              <w:rPr>
                <w:i/>
              </w:rPr>
              <w:t>Discretionary</w:t>
            </w:r>
          </w:p>
        </w:tc>
        <w:tc>
          <w:tcPr>
            <w:tcW w:w="1842" w:type="dxa"/>
            <w:shd w:val="clear" w:color="auto" w:fill="D9D9D9" w:themeFill="background1" w:themeFillShade="D9"/>
          </w:tcPr>
          <w:p w:rsidR="002045FB" w:rsidRPr="005D0AFD" w:rsidRDefault="002045FB" w:rsidP="004E5ABA">
            <w:pPr>
              <w:rPr>
                <w:sz w:val="24"/>
                <w:szCs w:val="24"/>
              </w:rPr>
            </w:pPr>
            <w:r>
              <w:rPr>
                <w:sz w:val="24"/>
                <w:szCs w:val="24"/>
              </w:rPr>
              <w:t>Funding Source</w:t>
            </w:r>
          </w:p>
        </w:tc>
        <w:tc>
          <w:tcPr>
            <w:tcW w:w="3686" w:type="dxa"/>
            <w:gridSpan w:val="2"/>
          </w:tcPr>
          <w:p w:rsidR="002045FB" w:rsidRPr="008B5CEE" w:rsidRDefault="00C61C6D" w:rsidP="00C61C6D">
            <w:pPr>
              <w:rPr>
                <w:i/>
              </w:rPr>
            </w:pPr>
            <w:r>
              <w:rPr>
                <w:i/>
              </w:rPr>
              <w:t>Core Grant</w:t>
            </w:r>
          </w:p>
        </w:tc>
      </w:tr>
      <w:tr w:rsidR="002045FB" w:rsidRPr="00097D93" w:rsidTr="002045FB">
        <w:tc>
          <w:tcPr>
            <w:tcW w:w="2093" w:type="dxa"/>
            <w:shd w:val="clear" w:color="auto" w:fill="D9D9D9" w:themeFill="background1" w:themeFillShade="D9"/>
          </w:tcPr>
          <w:p w:rsidR="002045FB" w:rsidRDefault="002045FB" w:rsidP="004E5ABA">
            <w:pPr>
              <w:rPr>
                <w:sz w:val="24"/>
                <w:szCs w:val="24"/>
              </w:rPr>
            </w:pPr>
            <w:r>
              <w:rPr>
                <w:sz w:val="24"/>
                <w:szCs w:val="24"/>
              </w:rPr>
              <w:t xml:space="preserve">*Compliance Justification </w:t>
            </w:r>
          </w:p>
        </w:tc>
        <w:tc>
          <w:tcPr>
            <w:tcW w:w="2977" w:type="dxa"/>
          </w:tcPr>
          <w:p w:rsidR="002045FB" w:rsidRDefault="002045FB" w:rsidP="004E5ABA">
            <w:pPr>
              <w:rPr>
                <w:i/>
              </w:rPr>
            </w:pPr>
            <w:r>
              <w:rPr>
                <w:i/>
              </w:rPr>
              <w:t>Provide brief details re. why this should be considered Compliance</w:t>
            </w:r>
          </w:p>
          <w:p w:rsidR="00BE3EFE" w:rsidRPr="008B5CEE" w:rsidRDefault="00BE3EFE" w:rsidP="004E5ABA">
            <w:pPr>
              <w:rPr>
                <w:i/>
              </w:rPr>
            </w:pPr>
          </w:p>
        </w:tc>
        <w:tc>
          <w:tcPr>
            <w:tcW w:w="1842" w:type="dxa"/>
          </w:tcPr>
          <w:p w:rsidR="002045FB" w:rsidRDefault="002045FB" w:rsidP="002045FB">
            <w:pPr>
              <w:rPr>
                <w:sz w:val="24"/>
                <w:szCs w:val="24"/>
              </w:rPr>
            </w:pPr>
            <w:r>
              <w:rPr>
                <w:sz w:val="24"/>
                <w:szCs w:val="24"/>
              </w:rPr>
              <w:t>Proposal Type</w:t>
            </w:r>
          </w:p>
          <w:p w:rsidR="002045FB" w:rsidRPr="008B5CEE" w:rsidRDefault="002045FB" w:rsidP="004E5ABA">
            <w:pPr>
              <w:rPr>
                <w:i/>
              </w:rPr>
            </w:pPr>
          </w:p>
        </w:tc>
        <w:tc>
          <w:tcPr>
            <w:tcW w:w="3686" w:type="dxa"/>
            <w:gridSpan w:val="2"/>
          </w:tcPr>
          <w:p w:rsidR="002045FB" w:rsidRPr="008B5CEE" w:rsidRDefault="00C61C6D" w:rsidP="00C61C6D">
            <w:pPr>
              <w:rPr>
                <w:i/>
              </w:rPr>
            </w:pPr>
            <w:r>
              <w:rPr>
                <w:i/>
              </w:rPr>
              <w:t>New</w:t>
            </w:r>
          </w:p>
        </w:tc>
      </w:tr>
    </w:tbl>
    <w:p w:rsidR="002045FB" w:rsidRDefault="002045FB"/>
    <w:p w:rsidR="00BE3EFE" w:rsidRDefault="00BE3EFE">
      <w:pPr>
        <w:rPr>
          <w:rFonts w:asciiTheme="majorHAnsi" w:eastAsiaTheme="majorEastAsia" w:hAnsiTheme="majorHAnsi" w:cstheme="majorBidi"/>
          <w:b/>
          <w:bCs/>
          <w:color w:val="4F81BD" w:themeColor="accent1"/>
          <w:sz w:val="26"/>
          <w:szCs w:val="26"/>
        </w:rPr>
      </w:pPr>
      <w:r>
        <w:br w:type="page"/>
      </w:r>
    </w:p>
    <w:p w:rsidR="002045FB" w:rsidRPr="009F3B26" w:rsidRDefault="002045FB" w:rsidP="002045FB">
      <w:pPr>
        <w:pStyle w:val="Heading2"/>
      </w:pPr>
      <w:r>
        <w:lastRenderedPageBreak/>
        <w:t>Estimation</w:t>
      </w:r>
    </w:p>
    <w:tbl>
      <w:tblPr>
        <w:tblStyle w:val="TableGrid"/>
        <w:tblW w:w="0" w:type="auto"/>
        <w:tblLook w:val="04A0" w:firstRow="1" w:lastRow="0" w:firstColumn="1" w:lastColumn="0" w:noHBand="0" w:noVBand="1"/>
      </w:tblPr>
      <w:tblGrid>
        <w:gridCol w:w="1935"/>
        <w:gridCol w:w="2426"/>
        <w:gridCol w:w="2021"/>
        <w:gridCol w:w="4300"/>
      </w:tblGrid>
      <w:tr w:rsidR="002045FB" w:rsidRPr="00097D93" w:rsidTr="00BE3EFE">
        <w:trPr>
          <w:trHeight w:val="597"/>
        </w:trPr>
        <w:tc>
          <w:tcPr>
            <w:tcW w:w="1935" w:type="dxa"/>
            <w:vMerge w:val="restart"/>
            <w:shd w:val="clear" w:color="auto" w:fill="D9D9D9" w:themeFill="background1" w:themeFillShade="D9"/>
          </w:tcPr>
          <w:p w:rsidR="002045FB" w:rsidRPr="005D0AFD" w:rsidRDefault="002045FB" w:rsidP="00C26119">
            <w:pPr>
              <w:rPr>
                <w:sz w:val="24"/>
                <w:szCs w:val="24"/>
              </w:rPr>
            </w:pPr>
            <w:r w:rsidRPr="005D0AFD">
              <w:rPr>
                <w:sz w:val="24"/>
                <w:szCs w:val="24"/>
              </w:rPr>
              <w:t xml:space="preserve">Estimation Type </w:t>
            </w:r>
          </w:p>
          <w:p w:rsidR="002045FB" w:rsidRPr="005D0AFD" w:rsidRDefault="002045FB" w:rsidP="00044CE5">
            <w:pPr>
              <w:rPr>
                <w:i/>
                <w:sz w:val="24"/>
                <w:szCs w:val="24"/>
              </w:rPr>
            </w:pPr>
          </w:p>
          <w:p w:rsidR="002045FB" w:rsidRPr="005D0AFD" w:rsidRDefault="002045FB" w:rsidP="00044CE5">
            <w:pPr>
              <w:rPr>
                <w:sz w:val="24"/>
                <w:szCs w:val="24"/>
              </w:rPr>
            </w:pPr>
          </w:p>
        </w:tc>
        <w:tc>
          <w:tcPr>
            <w:tcW w:w="4447" w:type="dxa"/>
            <w:gridSpan w:val="2"/>
          </w:tcPr>
          <w:p w:rsidR="002045FB" w:rsidRDefault="002045FB" w:rsidP="00044CE5">
            <w:pPr>
              <w:rPr>
                <w:i/>
              </w:rPr>
            </w:pPr>
            <w:r w:rsidRPr="00044CE5">
              <w:rPr>
                <w:i/>
              </w:rPr>
              <w:t xml:space="preserve">Software </w:t>
            </w:r>
            <w:r>
              <w:rPr>
                <w:i/>
              </w:rPr>
              <w:t>Development</w:t>
            </w:r>
          </w:p>
        </w:tc>
        <w:tc>
          <w:tcPr>
            <w:tcW w:w="4300" w:type="dxa"/>
          </w:tcPr>
          <w:p w:rsidR="002045FB" w:rsidRPr="008B5CEE" w:rsidRDefault="00C61C6D" w:rsidP="00044CE5">
            <w:pPr>
              <w:rPr>
                <w:i/>
              </w:rPr>
            </w:pPr>
            <w:r>
              <w:rPr>
                <w:i/>
              </w:rPr>
              <w:t>X</w:t>
            </w:r>
          </w:p>
        </w:tc>
      </w:tr>
      <w:tr w:rsidR="002045FB" w:rsidRPr="00097D93" w:rsidTr="00BE3EFE">
        <w:trPr>
          <w:trHeight w:val="597"/>
        </w:trPr>
        <w:tc>
          <w:tcPr>
            <w:tcW w:w="1935" w:type="dxa"/>
            <w:vMerge/>
            <w:shd w:val="clear" w:color="auto" w:fill="D9D9D9" w:themeFill="background1" w:themeFillShade="D9"/>
          </w:tcPr>
          <w:p w:rsidR="002045FB" w:rsidRPr="005D0AFD" w:rsidRDefault="002045FB" w:rsidP="00C26119">
            <w:pPr>
              <w:rPr>
                <w:sz w:val="24"/>
                <w:szCs w:val="24"/>
              </w:rPr>
            </w:pPr>
          </w:p>
        </w:tc>
        <w:tc>
          <w:tcPr>
            <w:tcW w:w="4447" w:type="dxa"/>
            <w:gridSpan w:val="2"/>
          </w:tcPr>
          <w:p w:rsidR="002045FB" w:rsidRPr="00044CE5" w:rsidRDefault="002045FB" w:rsidP="00044CE5">
            <w:pPr>
              <w:rPr>
                <w:i/>
              </w:rPr>
            </w:pPr>
            <w:r>
              <w:rPr>
                <w:i/>
              </w:rPr>
              <w:t>Software Configuration e.g. SITS</w:t>
            </w:r>
          </w:p>
        </w:tc>
        <w:tc>
          <w:tcPr>
            <w:tcW w:w="4300" w:type="dxa"/>
          </w:tcPr>
          <w:p w:rsidR="002045FB" w:rsidRPr="008B5CEE" w:rsidRDefault="002045FB" w:rsidP="00044CE5">
            <w:pPr>
              <w:rPr>
                <w:i/>
              </w:rPr>
            </w:pPr>
          </w:p>
        </w:tc>
      </w:tr>
      <w:tr w:rsidR="002045FB" w:rsidRPr="00097D93" w:rsidTr="00BE3EFE">
        <w:trPr>
          <w:trHeight w:val="597"/>
        </w:trPr>
        <w:tc>
          <w:tcPr>
            <w:tcW w:w="1935" w:type="dxa"/>
            <w:vMerge/>
            <w:shd w:val="clear" w:color="auto" w:fill="D9D9D9" w:themeFill="background1" w:themeFillShade="D9"/>
          </w:tcPr>
          <w:p w:rsidR="002045FB" w:rsidRDefault="002045FB" w:rsidP="00C26119">
            <w:pPr>
              <w:rPr>
                <w:sz w:val="24"/>
                <w:szCs w:val="24"/>
              </w:rPr>
            </w:pPr>
          </w:p>
        </w:tc>
        <w:tc>
          <w:tcPr>
            <w:tcW w:w="4447" w:type="dxa"/>
            <w:gridSpan w:val="2"/>
          </w:tcPr>
          <w:p w:rsidR="002045FB" w:rsidRPr="008B5CEE" w:rsidRDefault="002045FB" w:rsidP="00044CE5">
            <w:pPr>
              <w:rPr>
                <w:i/>
              </w:rPr>
            </w:pPr>
            <w:r w:rsidRPr="00044CE5">
              <w:rPr>
                <w:i/>
              </w:rPr>
              <w:t>Infrastructure Development</w:t>
            </w:r>
          </w:p>
        </w:tc>
        <w:tc>
          <w:tcPr>
            <w:tcW w:w="4300" w:type="dxa"/>
          </w:tcPr>
          <w:p w:rsidR="002045FB" w:rsidRPr="008B5CEE" w:rsidRDefault="002045FB" w:rsidP="00044CE5">
            <w:pPr>
              <w:rPr>
                <w:i/>
              </w:rPr>
            </w:pPr>
          </w:p>
        </w:tc>
      </w:tr>
      <w:tr w:rsidR="002045FB" w:rsidRPr="00097D93" w:rsidTr="00BE3EFE">
        <w:trPr>
          <w:trHeight w:val="597"/>
        </w:trPr>
        <w:tc>
          <w:tcPr>
            <w:tcW w:w="1935" w:type="dxa"/>
            <w:vMerge/>
            <w:shd w:val="clear" w:color="auto" w:fill="D9D9D9" w:themeFill="background1" w:themeFillShade="D9"/>
          </w:tcPr>
          <w:p w:rsidR="002045FB" w:rsidRDefault="002045FB" w:rsidP="00C26119">
            <w:pPr>
              <w:rPr>
                <w:sz w:val="24"/>
                <w:szCs w:val="24"/>
              </w:rPr>
            </w:pPr>
          </w:p>
        </w:tc>
        <w:tc>
          <w:tcPr>
            <w:tcW w:w="4447" w:type="dxa"/>
            <w:gridSpan w:val="2"/>
          </w:tcPr>
          <w:p w:rsidR="002045FB" w:rsidRPr="008B5CEE" w:rsidRDefault="002045FB" w:rsidP="00044CE5">
            <w:pPr>
              <w:rPr>
                <w:i/>
              </w:rPr>
            </w:pPr>
            <w:r w:rsidRPr="00044CE5">
              <w:rPr>
                <w:i/>
              </w:rPr>
              <w:t>Business Case</w:t>
            </w:r>
            <w:r>
              <w:rPr>
                <w:i/>
              </w:rPr>
              <w:t xml:space="preserve"> / Options Appraisal </w:t>
            </w:r>
          </w:p>
        </w:tc>
        <w:tc>
          <w:tcPr>
            <w:tcW w:w="4300" w:type="dxa"/>
          </w:tcPr>
          <w:p w:rsidR="002045FB" w:rsidRPr="008B5CEE" w:rsidRDefault="002045FB" w:rsidP="00044CE5">
            <w:pPr>
              <w:rPr>
                <w:i/>
              </w:rPr>
            </w:pPr>
          </w:p>
        </w:tc>
      </w:tr>
      <w:tr w:rsidR="002045FB" w:rsidRPr="00097D93" w:rsidTr="00BE3EFE">
        <w:trPr>
          <w:trHeight w:val="597"/>
        </w:trPr>
        <w:tc>
          <w:tcPr>
            <w:tcW w:w="1935" w:type="dxa"/>
            <w:vMerge/>
            <w:shd w:val="clear" w:color="auto" w:fill="D9D9D9" w:themeFill="background1" w:themeFillShade="D9"/>
          </w:tcPr>
          <w:p w:rsidR="002045FB" w:rsidRDefault="002045FB" w:rsidP="00C26119">
            <w:pPr>
              <w:rPr>
                <w:sz w:val="24"/>
                <w:szCs w:val="24"/>
              </w:rPr>
            </w:pPr>
          </w:p>
        </w:tc>
        <w:tc>
          <w:tcPr>
            <w:tcW w:w="4447" w:type="dxa"/>
            <w:gridSpan w:val="2"/>
          </w:tcPr>
          <w:p w:rsidR="002045FB" w:rsidRPr="008B5CEE" w:rsidRDefault="002045FB" w:rsidP="00044CE5">
            <w:pPr>
              <w:rPr>
                <w:i/>
              </w:rPr>
            </w:pPr>
            <w:r w:rsidRPr="00044CE5">
              <w:rPr>
                <w:i/>
              </w:rPr>
              <w:t>Procurement</w:t>
            </w:r>
          </w:p>
        </w:tc>
        <w:tc>
          <w:tcPr>
            <w:tcW w:w="4300" w:type="dxa"/>
          </w:tcPr>
          <w:p w:rsidR="002045FB" w:rsidRPr="008B5CEE" w:rsidRDefault="002045FB" w:rsidP="00044CE5">
            <w:pPr>
              <w:rPr>
                <w:i/>
              </w:rPr>
            </w:pPr>
          </w:p>
        </w:tc>
      </w:tr>
      <w:tr w:rsidR="002045FB" w:rsidRPr="00097D93" w:rsidTr="00BE3EFE">
        <w:trPr>
          <w:trHeight w:val="597"/>
        </w:trPr>
        <w:tc>
          <w:tcPr>
            <w:tcW w:w="1935" w:type="dxa"/>
            <w:vMerge/>
            <w:shd w:val="clear" w:color="auto" w:fill="D9D9D9" w:themeFill="background1" w:themeFillShade="D9"/>
          </w:tcPr>
          <w:p w:rsidR="002045FB" w:rsidRDefault="002045FB" w:rsidP="00C26119">
            <w:pPr>
              <w:rPr>
                <w:sz w:val="24"/>
                <w:szCs w:val="24"/>
              </w:rPr>
            </w:pPr>
          </w:p>
        </w:tc>
        <w:tc>
          <w:tcPr>
            <w:tcW w:w="4447" w:type="dxa"/>
            <w:gridSpan w:val="2"/>
          </w:tcPr>
          <w:p w:rsidR="002045FB" w:rsidRDefault="002045FB" w:rsidP="00044CE5">
            <w:pPr>
              <w:rPr>
                <w:i/>
              </w:rPr>
            </w:pPr>
            <w:r w:rsidRPr="00044CE5">
              <w:rPr>
                <w:i/>
              </w:rPr>
              <w:t>Impleme</w:t>
            </w:r>
            <w:r>
              <w:rPr>
                <w:i/>
              </w:rPr>
              <w:t>nt Package Solution</w:t>
            </w:r>
          </w:p>
        </w:tc>
        <w:tc>
          <w:tcPr>
            <w:tcW w:w="4300" w:type="dxa"/>
          </w:tcPr>
          <w:p w:rsidR="002045FB" w:rsidRPr="008B5CEE" w:rsidRDefault="002045FB" w:rsidP="00044CE5">
            <w:pPr>
              <w:rPr>
                <w:i/>
              </w:rPr>
            </w:pPr>
          </w:p>
        </w:tc>
      </w:tr>
      <w:tr w:rsidR="000D528D" w:rsidRPr="00097D93" w:rsidTr="00C61C6D">
        <w:tc>
          <w:tcPr>
            <w:tcW w:w="1935" w:type="dxa"/>
            <w:shd w:val="clear" w:color="auto" w:fill="D9D9D9" w:themeFill="background1" w:themeFillShade="D9"/>
          </w:tcPr>
          <w:p w:rsidR="000D528D" w:rsidRPr="009F3B26" w:rsidRDefault="000D528D" w:rsidP="00C26119">
            <w:r>
              <w:t>Estimated IS Apps Days</w:t>
            </w:r>
            <w:r w:rsidR="00044CE5">
              <w:t xml:space="preserve"> </w:t>
            </w:r>
            <w:r w:rsidR="00044CE5">
              <w:br/>
              <w:t>(see additional guidance*)</w:t>
            </w:r>
          </w:p>
        </w:tc>
        <w:tc>
          <w:tcPr>
            <w:tcW w:w="2426" w:type="dxa"/>
          </w:tcPr>
          <w:p w:rsidR="000D528D" w:rsidRDefault="00C61C6D" w:rsidP="00C61C6D">
            <w:pPr>
              <w:rPr>
                <w:i/>
              </w:rPr>
            </w:pPr>
            <w:r>
              <w:rPr>
                <w:i/>
              </w:rPr>
              <w:t>M – 120 days</w:t>
            </w:r>
            <w:r>
              <w:rPr>
                <w:i/>
              </w:rPr>
              <w:br/>
            </w:r>
          </w:p>
        </w:tc>
        <w:tc>
          <w:tcPr>
            <w:tcW w:w="2021" w:type="dxa"/>
            <w:shd w:val="clear" w:color="auto" w:fill="D9D9D9" w:themeFill="background1" w:themeFillShade="D9"/>
          </w:tcPr>
          <w:p w:rsidR="000D528D" w:rsidRDefault="000D528D" w:rsidP="00C26119">
            <w:pPr>
              <w:rPr>
                <w:sz w:val="24"/>
                <w:szCs w:val="24"/>
              </w:rPr>
            </w:pPr>
            <w:r>
              <w:rPr>
                <w:sz w:val="24"/>
                <w:szCs w:val="24"/>
              </w:rPr>
              <w:t>Estimated Business Partner Days</w:t>
            </w:r>
          </w:p>
        </w:tc>
        <w:tc>
          <w:tcPr>
            <w:tcW w:w="4300" w:type="dxa"/>
          </w:tcPr>
          <w:p w:rsidR="000D528D" w:rsidRDefault="00C61C6D" w:rsidP="00C26119">
            <w:pPr>
              <w:rPr>
                <w:i/>
              </w:rPr>
            </w:pPr>
            <w:r>
              <w:rPr>
                <w:i/>
              </w:rPr>
              <w:t>S – 50 days</w:t>
            </w:r>
          </w:p>
          <w:p w:rsidR="00C61C6D" w:rsidRDefault="00C61C6D" w:rsidP="00C26119">
            <w:pPr>
              <w:rPr>
                <w:i/>
              </w:rPr>
            </w:pPr>
            <w:r>
              <w:rPr>
                <w:i/>
              </w:rPr>
              <w:t>(USD TELS)</w:t>
            </w:r>
          </w:p>
        </w:tc>
      </w:tr>
      <w:tr w:rsidR="00DE0845" w:rsidRPr="00097D93" w:rsidTr="00C61C6D">
        <w:tc>
          <w:tcPr>
            <w:tcW w:w="1935" w:type="dxa"/>
            <w:shd w:val="clear" w:color="auto" w:fill="D9D9D9" w:themeFill="background1" w:themeFillShade="D9"/>
          </w:tcPr>
          <w:p w:rsidR="00DE0845" w:rsidRDefault="00C82AE0" w:rsidP="00C26119">
            <w:r w:rsidRPr="00C82AE0">
              <w:t>Estimated Service Management Days</w:t>
            </w:r>
          </w:p>
        </w:tc>
        <w:tc>
          <w:tcPr>
            <w:tcW w:w="2426" w:type="dxa"/>
          </w:tcPr>
          <w:p w:rsidR="00DE0845" w:rsidRDefault="00C61C6D" w:rsidP="00C61C6D">
            <w:pPr>
              <w:rPr>
                <w:i/>
              </w:rPr>
            </w:pPr>
            <w:r>
              <w:rPr>
                <w:i/>
              </w:rPr>
              <w:t xml:space="preserve">M – 120 </w:t>
            </w:r>
            <w:proofErr w:type="gramStart"/>
            <w:r>
              <w:rPr>
                <w:i/>
              </w:rPr>
              <w:t>days</w:t>
            </w:r>
            <w:proofErr w:type="gramEnd"/>
            <w:r>
              <w:rPr>
                <w:i/>
              </w:rPr>
              <w:br/>
              <w:t>(APPS TELS – 75% / APPS COM – 25%)</w:t>
            </w:r>
          </w:p>
        </w:tc>
        <w:tc>
          <w:tcPr>
            <w:tcW w:w="2021" w:type="dxa"/>
            <w:shd w:val="clear" w:color="auto" w:fill="D9D9D9" w:themeFill="background1" w:themeFillShade="D9"/>
          </w:tcPr>
          <w:p w:rsidR="00DE0845" w:rsidRDefault="00C82AE0" w:rsidP="00C26119">
            <w:pPr>
              <w:rPr>
                <w:sz w:val="24"/>
                <w:szCs w:val="24"/>
              </w:rPr>
            </w:pPr>
            <w:r>
              <w:rPr>
                <w:sz w:val="24"/>
                <w:szCs w:val="24"/>
              </w:rPr>
              <w:t>Impact on other Service area</w:t>
            </w:r>
          </w:p>
        </w:tc>
        <w:tc>
          <w:tcPr>
            <w:tcW w:w="4300" w:type="dxa"/>
          </w:tcPr>
          <w:p w:rsidR="00C82AE0" w:rsidRDefault="00C82AE0" w:rsidP="00C26119">
            <w:pPr>
              <w:rPr>
                <w:i/>
              </w:rPr>
            </w:pPr>
            <w:r>
              <w:rPr>
                <w:i/>
              </w:rPr>
              <w:t>Name</w:t>
            </w:r>
          </w:p>
          <w:p w:rsidR="00C82AE0" w:rsidRDefault="00C82AE0" w:rsidP="00C26119">
            <w:pPr>
              <w:rPr>
                <w:i/>
              </w:rPr>
            </w:pPr>
          </w:p>
          <w:p w:rsidR="00DE0845" w:rsidRDefault="00DE0845" w:rsidP="00C26119">
            <w:pPr>
              <w:rPr>
                <w:i/>
              </w:rPr>
            </w:pPr>
            <w:r>
              <w:rPr>
                <w:i/>
              </w:rPr>
              <w:t>S/M/L/XL</w:t>
            </w:r>
          </w:p>
          <w:p w:rsidR="000C3623" w:rsidRDefault="000C3623" w:rsidP="00C26119">
            <w:pPr>
              <w:rPr>
                <w:i/>
              </w:rPr>
            </w:pPr>
          </w:p>
        </w:tc>
      </w:tr>
      <w:tr w:rsidR="00731723" w:rsidRPr="00097D93" w:rsidTr="00BE3EFE">
        <w:tc>
          <w:tcPr>
            <w:tcW w:w="1935" w:type="dxa"/>
            <w:shd w:val="clear" w:color="auto" w:fill="D9D9D9" w:themeFill="background1" w:themeFillShade="D9"/>
          </w:tcPr>
          <w:p w:rsidR="00731723" w:rsidRDefault="00731723" w:rsidP="00C26119">
            <w:pPr>
              <w:rPr>
                <w:sz w:val="24"/>
                <w:szCs w:val="24"/>
              </w:rPr>
            </w:pPr>
            <w:r>
              <w:rPr>
                <w:sz w:val="24"/>
                <w:szCs w:val="24"/>
              </w:rPr>
              <w:t xml:space="preserve">Estimation Confidence </w:t>
            </w:r>
            <w:r w:rsidR="00792EF2">
              <w:rPr>
                <w:i/>
              </w:rPr>
              <w:t>(delete as required)</w:t>
            </w:r>
          </w:p>
        </w:tc>
        <w:tc>
          <w:tcPr>
            <w:tcW w:w="8747" w:type="dxa"/>
            <w:gridSpan w:val="3"/>
          </w:tcPr>
          <w:p w:rsidR="00731723" w:rsidRDefault="00731723" w:rsidP="00C26119">
            <w:pPr>
              <w:rPr>
                <w:i/>
              </w:rPr>
            </w:pPr>
            <w:r>
              <w:rPr>
                <w:i/>
              </w:rPr>
              <w:t>Reasonably Confident (Similar to previous work)</w:t>
            </w:r>
          </w:p>
          <w:p w:rsidR="00731723" w:rsidRDefault="00731723" w:rsidP="00C61C6D">
            <w:pPr>
              <w:rPr>
                <w:i/>
              </w:rPr>
            </w:pPr>
          </w:p>
        </w:tc>
      </w:tr>
      <w:tr w:rsidR="009F3B26" w:rsidRPr="00097D93" w:rsidTr="00BE3EFE">
        <w:tc>
          <w:tcPr>
            <w:tcW w:w="1935" w:type="dxa"/>
            <w:shd w:val="clear" w:color="auto" w:fill="D9D9D9" w:themeFill="background1" w:themeFillShade="D9"/>
          </w:tcPr>
          <w:p w:rsidR="009F3B26" w:rsidRDefault="000D528D" w:rsidP="00C26119">
            <w:pPr>
              <w:rPr>
                <w:sz w:val="24"/>
                <w:szCs w:val="24"/>
              </w:rPr>
            </w:pPr>
            <w:r>
              <w:rPr>
                <w:sz w:val="24"/>
                <w:szCs w:val="24"/>
              </w:rPr>
              <w:t>Estimation References</w:t>
            </w:r>
          </w:p>
        </w:tc>
        <w:tc>
          <w:tcPr>
            <w:tcW w:w="8747" w:type="dxa"/>
            <w:gridSpan w:val="3"/>
          </w:tcPr>
          <w:p w:rsidR="00C61C6D" w:rsidRDefault="00C61C6D" w:rsidP="009C27AB">
            <w:pPr>
              <w:rPr>
                <w:i/>
              </w:rPr>
            </w:pPr>
            <w:r>
              <w:rPr>
                <w:i/>
              </w:rPr>
              <w:t>We have built a range of data-marts previously.</w:t>
            </w:r>
          </w:p>
          <w:p w:rsidR="009C27AB" w:rsidRPr="009C27AB" w:rsidRDefault="00C61C6D" w:rsidP="009C27AB">
            <w:pPr>
              <w:rPr>
                <w:i/>
              </w:rPr>
            </w:pPr>
            <w:r>
              <w:rPr>
                <w:i/>
              </w:rPr>
              <w:t>Likely solution will be based on the Business Objects solutions – potentially using the dashboard tools. By the time this project delivers we will have gained experience in this area of the new BI suite.</w:t>
            </w:r>
          </w:p>
        </w:tc>
      </w:tr>
    </w:tbl>
    <w:p w:rsidR="008B5CEE" w:rsidRDefault="008B5CEE"/>
    <w:p w:rsidR="0005231F" w:rsidRPr="00C63351" w:rsidRDefault="001B4393" w:rsidP="000D528D">
      <w:pPr>
        <w:rPr>
          <w:rFonts w:asciiTheme="majorHAnsi" w:hAnsiTheme="majorHAnsi"/>
          <w:b/>
          <w:color w:val="0070C0"/>
          <w:sz w:val="26"/>
          <w:szCs w:val="26"/>
        </w:rPr>
      </w:pPr>
      <w:r w:rsidRPr="00C63351">
        <w:rPr>
          <w:rFonts w:asciiTheme="majorHAnsi" w:hAnsiTheme="majorHAnsi"/>
          <w:b/>
          <w:color w:val="0070C0"/>
          <w:sz w:val="26"/>
          <w:szCs w:val="26"/>
        </w:rPr>
        <w:t>*</w:t>
      </w:r>
      <w:r w:rsidR="0005231F" w:rsidRPr="00C63351">
        <w:rPr>
          <w:rFonts w:asciiTheme="majorHAnsi" w:hAnsiTheme="majorHAnsi"/>
          <w:b/>
          <w:color w:val="0070C0"/>
          <w:sz w:val="26"/>
          <w:szCs w:val="26"/>
        </w:rPr>
        <w:t>Estimation</w:t>
      </w:r>
      <w:r w:rsidR="0076682F" w:rsidRPr="00C63351">
        <w:rPr>
          <w:rFonts w:asciiTheme="majorHAnsi" w:hAnsiTheme="majorHAnsi"/>
          <w:b/>
          <w:color w:val="0070C0"/>
          <w:sz w:val="26"/>
          <w:szCs w:val="26"/>
        </w:rPr>
        <w:t xml:space="preserve"> – Additional Guidance</w:t>
      </w:r>
      <w:r w:rsidR="0005231F" w:rsidRPr="00C63351">
        <w:rPr>
          <w:rFonts w:asciiTheme="majorHAnsi" w:hAnsiTheme="majorHAnsi"/>
          <w:b/>
          <w:color w:val="0070C0"/>
          <w:sz w:val="26"/>
          <w:szCs w:val="26"/>
        </w:rPr>
        <w:t>:</w:t>
      </w:r>
    </w:p>
    <w:p w:rsidR="001B4393" w:rsidRPr="00096F08" w:rsidRDefault="001B4393" w:rsidP="00096F08">
      <w:pPr>
        <w:rPr>
          <w:sz w:val="24"/>
          <w:szCs w:val="24"/>
        </w:rPr>
      </w:pPr>
      <w:r w:rsidRPr="00096F08">
        <w:rPr>
          <w:sz w:val="24"/>
          <w:szCs w:val="24"/>
        </w:rPr>
        <w:t>For 1</w:t>
      </w:r>
      <w:r w:rsidRPr="00096F08">
        <w:rPr>
          <w:sz w:val="24"/>
          <w:szCs w:val="24"/>
          <w:vertAlign w:val="superscript"/>
        </w:rPr>
        <w:t>st</w:t>
      </w:r>
      <w:r w:rsidRPr="00096F08">
        <w:rPr>
          <w:sz w:val="24"/>
          <w:szCs w:val="24"/>
        </w:rPr>
        <w:t xml:space="preserve"> stage/iteration of Red Line, the following</w:t>
      </w:r>
      <w:r w:rsidR="00C63351">
        <w:rPr>
          <w:sz w:val="24"/>
          <w:szCs w:val="24"/>
        </w:rPr>
        <w:t xml:space="preserve"> standard estimation categorisations will be used</w:t>
      </w:r>
      <w:r w:rsidRPr="00096F08">
        <w:rPr>
          <w:sz w:val="24"/>
          <w:szCs w:val="24"/>
        </w:rPr>
        <w:t xml:space="preserve">, </w:t>
      </w:r>
    </w:p>
    <w:p w:rsidR="001B4393" w:rsidRPr="00096F08" w:rsidRDefault="001B4393" w:rsidP="00096F08">
      <w:pPr>
        <w:pStyle w:val="ListParagraph"/>
        <w:numPr>
          <w:ilvl w:val="0"/>
          <w:numId w:val="3"/>
        </w:numPr>
        <w:rPr>
          <w:sz w:val="24"/>
          <w:szCs w:val="24"/>
        </w:rPr>
      </w:pPr>
      <w:r w:rsidRPr="00096F08">
        <w:rPr>
          <w:sz w:val="24"/>
          <w:szCs w:val="24"/>
        </w:rPr>
        <w:t>Small – 50 days</w:t>
      </w:r>
    </w:p>
    <w:p w:rsidR="001B4393" w:rsidRPr="00096F08" w:rsidRDefault="001B4393" w:rsidP="00096F08">
      <w:pPr>
        <w:pStyle w:val="ListParagraph"/>
        <w:numPr>
          <w:ilvl w:val="0"/>
          <w:numId w:val="3"/>
        </w:numPr>
        <w:rPr>
          <w:sz w:val="24"/>
          <w:szCs w:val="24"/>
        </w:rPr>
      </w:pPr>
      <w:r w:rsidRPr="00096F08">
        <w:rPr>
          <w:sz w:val="24"/>
          <w:szCs w:val="24"/>
        </w:rPr>
        <w:t xml:space="preserve">Medium – 120 days </w:t>
      </w:r>
    </w:p>
    <w:p w:rsidR="001B4393" w:rsidRPr="00096F08" w:rsidRDefault="001B4393" w:rsidP="00096F08">
      <w:pPr>
        <w:pStyle w:val="ListParagraph"/>
        <w:numPr>
          <w:ilvl w:val="0"/>
          <w:numId w:val="3"/>
        </w:numPr>
        <w:rPr>
          <w:sz w:val="24"/>
          <w:szCs w:val="24"/>
        </w:rPr>
      </w:pPr>
      <w:r w:rsidRPr="00096F08">
        <w:rPr>
          <w:sz w:val="24"/>
          <w:szCs w:val="24"/>
        </w:rPr>
        <w:t xml:space="preserve">Large – 250 days </w:t>
      </w:r>
    </w:p>
    <w:p w:rsidR="000D528D" w:rsidRDefault="001B4393" w:rsidP="000D528D">
      <w:pPr>
        <w:pStyle w:val="ListParagraph"/>
        <w:numPr>
          <w:ilvl w:val="0"/>
          <w:numId w:val="3"/>
        </w:numPr>
      </w:pPr>
      <w:r w:rsidRPr="00BE3EFE">
        <w:rPr>
          <w:sz w:val="24"/>
          <w:szCs w:val="24"/>
        </w:rPr>
        <w:t xml:space="preserve">Extra Large – 500 days </w:t>
      </w:r>
      <w:r w:rsidR="000D528D">
        <w:tab/>
      </w:r>
      <w:r w:rsidR="000D528D">
        <w:tab/>
      </w:r>
      <w:r w:rsidR="000D528D">
        <w:tab/>
      </w:r>
      <w:r w:rsidR="000D528D">
        <w:tab/>
      </w:r>
      <w:r w:rsidR="000D528D">
        <w:tab/>
      </w:r>
    </w:p>
    <w:p w:rsidR="000D528D" w:rsidRDefault="000D528D" w:rsidP="000D528D">
      <w:r>
        <w:tab/>
      </w:r>
      <w:r>
        <w:tab/>
      </w:r>
      <w:r>
        <w:tab/>
      </w:r>
      <w:r>
        <w:tab/>
      </w:r>
      <w:r>
        <w:tab/>
      </w:r>
    </w:p>
    <w:p w:rsidR="000D528D" w:rsidRDefault="000D528D" w:rsidP="000D528D">
      <w:r>
        <w:tab/>
      </w:r>
      <w:r>
        <w:tab/>
      </w:r>
      <w:r>
        <w:tab/>
      </w:r>
      <w:r>
        <w:tab/>
      </w:r>
      <w:r>
        <w:tab/>
      </w:r>
    </w:p>
    <w:p w:rsidR="008B5CEE" w:rsidRDefault="000D528D" w:rsidP="000D528D">
      <w:r>
        <w:tab/>
      </w:r>
      <w:r>
        <w:tab/>
      </w:r>
      <w:r>
        <w:tab/>
      </w:r>
      <w:r>
        <w:tab/>
      </w:r>
      <w:r>
        <w:tab/>
      </w:r>
    </w:p>
    <w:sectPr w:rsidR="008B5CEE" w:rsidSect="00C82AE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63001"/>
    <w:multiLevelType w:val="hybridMultilevel"/>
    <w:tmpl w:val="80F47F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AD8758C"/>
    <w:multiLevelType w:val="hybridMultilevel"/>
    <w:tmpl w:val="B2F2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EF151F3"/>
    <w:multiLevelType w:val="hybridMultilevel"/>
    <w:tmpl w:val="59B293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D93"/>
    <w:rsid w:val="00044CE5"/>
    <w:rsid w:val="0005231F"/>
    <w:rsid w:val="00096F08"/>
    <w:rsid w:val="00097D93"/>
    <w:rsid w:val="000A58CD"/>
    <w:rsid w:val="000C3623"/>
    <w:rsid w:val="000D528D"/>
    <w:rsid w:val="00144C94"/>
    <w:rsid w:val="001B4393"/>
    <w:rsid w:val="002045FB"/>
    <w:rsid w:val="00270B09"/>
    <w:rsid w:val="002F0A4F"/>
    <w:rsid w:val="005838E1"/>
    <w:rsid w:val="005B0308"/>
    <w:rsid w:val="005D0AFD"/>
    <w:rsid w:val="006C5F92"/>
    <w:rsid w:val="00731723"/>
    <w:rsid w:val="0076682F"/>
    <w:rsid w:val="00792EF2"/>
    <w:rsid w:val="008B5CEE"/>
    <w:rsid w:val="008E4330"/>
    <w:rsid w:val="0097066C"/>
    <w:rsid w:val="00973AD1"/>
    <w:rsid w:val="009C02AF"/>
    <w:rsid w:val="009C04BA"/>
    <w:rsid w:val="009C27AB"/>
    <w:rsid w:val="009F3B26"/>
    <w:rsid w:val="00A11DD6"/>
    <w:rsid w:val="00A73856"/>
    <w:rsid w:val="00B4303F"/>
    <w:rsid w:val="00B47876"/>
    <w:rsid w:val="00BB165D"/>
    <w:rsid w:val="00BE3EFE"/>
    <w:rsid w:val="00C26119"/>
    <w:rsid w:val="00C61C6D"/>
    <w:rsid w:val="00C63351"/>
    <w:rsid w:val="00C82AE0"/>
    <w:rsid w:val="00CC3574"/>
    <w:rsid w:val="00CF4FEA"/>
    <w:rsid w:val="00DA1186"/>
    <w:rsid w:val="00DB0320"/>
    <w:rsid w:val="00DE0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5C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5C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7D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8B5CE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B5CEE"/>
    <w:rPr>
      <w:rFonts w:asciiTheme="majorHAnsi" w:eastAsiaTheme="majorEastAsia" w:hAnsiTheme="majorHAnsi" w:cstheme="majorBidi"/>
      <w:b/>
      <w:bCs/>
      <w:color w:val="365F91" w:themeColor="accent1" w:themeShade="BF"/>
      <w:sz w:val="28"/>
      <w:szCs w:val="28"/>
    </w:rPr>
  </w:style>
  <w:style w:type="character" w:customStyle="1" w:styleId="style6">
    <w:name w:val="style6"/>
    <w:basedOn w:val="DefaultParagraphFont"/>
    <w:rsid w:val="008B5CEE"/>
  </w:style>
  <w:style w:type="paragraph" w:customStyle="1" w:styleId="style61">
    <w:name w:val="style61"/>
    <w:basedOn w:val="Normal"/>
    <w:rsid w:val="008B5C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D528D"/>
    <w:pPr>
      <w:ind w:left="720"/>
      <w:contextualSpacing/>
    </w:pPr>
  </w:style>
  <w:style w:type="paragraph" w:styleId="BalloonText">
    <w:name w:val="Balloon Text"/>
    <w:basedOn w:val="Normal"/>
    <w:link w:val="BalloonTextChar"/>
    <w:uiPriority w:val="99"/>
    <w:semiHidden/>
    <w:unhideWhenUsed/>
    <w:rsid w:val="00970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66C"/>
    <w:rPr>
      <w:rFonts w:ascii="Tahoma" w:hAnsi="Tahoma" w:cs="Tahoma"/>
      <w:sz w:val="16"/>
      <w:szCs w:val="16"/>
    </w:rPr>
  </w:style>
  <w:style w:type="character" w:styleId="CommentReference">
    <w:name w:val="annotation reference"/>
    <w:basedOn w:val="DefaultParagraphFont"/>
    <w:uiPriority w:val="99"/>
    <w:semiHidden/>
    <w:unhideWhenUsed/>
    <w:rsid w:val="0097066C"/>
    <w:rPr>
      <w:sz w:val="16"/>
      <w:szCs w:val="16"/>
    </w:rPr>
  </w:style>
  <w:style w:type="paragraph" w:styleId="CommentText">
    <w:name w:val="annotation text"/>
    <w:basedOn w:val="Normal"/>
    <w:link w:val="CommentTextChar"/>
    <w:uiPriority w:val="99"/>
    <w:semiHidden/>
    <w:unhideWhenUsed/>
    <w:rsid w:val="0097066C"/>
    <w:pPr>
      <w:spacing w:line="240" w:lineRule="auto"/>
    </w:pPr>
    <w:rPr>
      <w:sz w:val="20"/>
      <w:szCs w:val="20"/>
    </w:rPr>
  </w:style>
  <w:style w:type="character" w:customStyle="1" w:styleId="CommentTextChar">
    <w:name w:val="Comment Text Char"/>
    <w:basedOn w:val="DefaultParagraphFont"/>
    <w:link w:val="CommentText"/>
    <w:uiPriority w:val="99"/>
    <w:semiHidden/>
    <w:rsid w:val="0097066C"/>
    <w:rPr>
      <w:sz w:val="20"/>
      <w:szCs w:val="20"/>
    </w:rPr>
  </w:style>
  <w:style w:type="paragraph" w:styleId="CommentSubject">
    <w:name w:val="annotation subject"/>
    <w:basedOn w:val="CommentText"/>
    <w:next w:val="CommentText"/>
    <w:link w:val="CommentSubjectChar"/>
    <w:uiPriority w:val="99"/>
    <w:semiHidden/>
    <w:unhideWhenUsed/>
    <w:rsid w:val="0097066C"/>
    <w:rPr>
      <w:b/>
      <w:bCs/>
    </w:rPr>
  </w:style>
  <w:style w:type="character" w:customStyle="1" w:styleId="CommentSubjectChar">
    <w:name w:val="Comment Subject Char"/>
    <w:basedOn w:val="CommentTextChar"/>
    <w:link w:val="CommentSubject"/>
    <w:uiPriority w:val="99"/>
    <w:semiHidden/>
    <w:rsid w:val="0097066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5C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5C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7D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8B5CE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B5CEE"/>
    <w:rPr>
      <w:rFonts w:asciiTheme="majorHAnsi" w:eastAsiaTheme="majorEastAsia" w:hAnsiTheme="majorHAnsi" w:cstheme="majorBidi"/>
      <w:b/>
      <w:bCs/>
      <w:color w:val="365F91" w:themeColor="accent1" w:themeShade="BF"/>
      <w:sz w:val="28"/>
      <w:szCs w:val="28"/>
    </w:rPr>
  </w:style>
  <w:style w:type="character" w:customStyle="1" w:styleId="style6">
    <w:name w:val="style6"/>
    <w:basedOn w:val="DefaultParagraphFont"/>
    <w:rsid w:val="008B5CEE"/>
  </w:style>
  <w:style w:type="paragraph" w:customStyle="1" w:styleId="style61">
    <w:name w:val="style61"/>
    <w:basedOn w:val="Normal"/>
    <w:rsid w:val="008B5C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D528D"/>
    <w:pPr>
      <w:ind w:left="720"/>
      <w:contextualSpacing/>
    </w:pPr>
  </w:style>
  <w:style w:type="paragraph" w:styleId="BalloonText">
    <w:name w:val="Balloon Text"/>
    <w:basedOn w:val="Normal"/>
    <w:link w:val="BalloonTextChar"/>
    <w:uiPriority w:val="99"/>
    <w:semiHidden/>
    <w:unhideWhenUsed/>
    <w:rsid w:val="00970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66C"/>
    <w:rPr>
      <w:rFonts w:ascii="Tahoma" w:hAnsi="Tahoma" w:cs="Tahoma"/>
      <w:sz w:val="16"/>
      <w:szCs w:val="16"/>
    </w:rPr>
  </w:style>
  <w:style w:type="character" w:styleId="CommentReference">
    <w:name w:val="annotation reference"/>
    <w:basedOn w:val="DefaultParagraphFont"/>
    <w:uiPriority w:val="99"/>
    <w:semiHidden/>
    <w:unhideWhenUsed/>
    <w:rsid w:val="0097066C"/>
    <w:rPr>
      <w:sz w:val="16"/>
      <w:szCs w:val="16"/>
    </w:rPr>
  </w:style>
  <w:style w:type="paragraph" w:styleId="CommentText">
    <w:name w:val="annotation text"/>
    <w:basedOn w:val="Normal"/>
    <w:link w:val="CommentTextChar"/>
    <w:uiPriority w:val="99"/>
    <w:semiHidden/>
    <w:unhideWhenUsed/>
    <w:rsid w:val="0097066C"/>
    <w:pPr>
      <w:spacing w:line="240" w:lineRule="auto"/>
    </w:pPr>
    <w:rPr>
      <w:sz w:val="20"/>
      <w:szCs w:val="20"/>
    </w:rPr>
  </w:style>
  <w:style w:type="character" w:customStyle="1" w:styleId="CommentTextChar">
    <w:name w:val="Comment Text Char"/>
    <w:basedOn w:val="DefaultParagraphFont"/>
    <w:link w:val="CommentText"/>
    <w:uiPriority w:val="99"/>
    <w:semiHidden/>
    <w:rsid w:val="0097066C"/>
    <w:rPr>
      <w:sz w:val="20"/>
      <w:szCs w:val="20"/>
    </w:rPr>
  </w:style>
  <w:style w:type="paragraph" w:styleId="CommentSubject">
    <w:name w:val="annotation subject"/>
    <w:basedOn w:val="CommentText"/>
    <w:next w:val="CommentText"/>
    <w:link w:val="CommentSubjectChar"/>
    <w:uiPriority w:val="99"/>
    <w:semiHidden/>
    <w:unhideWhenUsed/>
    <w:rsid w:val="0097066C"/>
    <w:rPr>
      <w:b/>
      <w:bCs/>
    </w:rPr>
  </w:style>
  <w:style w:type="character" w:customStyle="1" w:styleId="CommentSubjectChar">
    <w:name w:val="Comment Subject Char"/>
    <w:basedOn w:val="CommentTextChar"/>
    <w:link w:val="CommentSubject"/>
    <w:uiPriority w:val="99"/>
    <w:semiHidden/>
    <w:rsid w:val="009706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39984">
      <w:bodyDiv w:val="1"/>
      <w:marLeft w:val="0"/>
      <w:marRight w:val="0"/>
      <w:marTop w:val="0"/>
      <w:marBottom w:val="0"/>
      <w:divBdr>
        <w:top w:val="none" w:sz="0" w:space="0" w:color="auto"/>
        <w:left w:val="none" w:sz="0" w:space="0" w:color="auto"/>
        <w:bottom w:val="none" w:sz="0" w:space="0" w:color="auto"/>
        <w:right w:val="none" w:sz="0" w:space="0" w:color="auto"/>
      </w:divBdr>
    </w:div>
    <w:div w:id="400099752">
      <w:bodyDiv w:val="1"/>
      <w:marLeft w:val="0"/>
      <w:marRight w:val="0"/>
      <w:marTop w:val="0"/>
      <w:marBottom w:val="0"/>
      <w:divBdr>
        <w:top w:val="none" w:sz="0" w:space="0" w:color="auto"/>
        <w:left w:val="none" w:sz="0" w:space="0" w:color="auto"/>
        <w:bottom w:val="none" w:sz="0" w:space="0" w:color="auto"/>
        <w:right w:val="none" w:sz="0" w:space="0" w:color="auto"/>
      </w:divBdr>
    </w:div>
    <w:div w:id="858734135">
      <w:bodyDiv w:val="1"/>
      <w:marLeft w:val="0"/>
      <w:marRight w:val="0"/>
      <w:marTop w:val="0"/>
      <w:marBottom w:val="0"/>
      <w:divBdr>
        <w:top w:val="none" w:sz="0" w:space="0" w:color="auto"/>
        <w:left w:val="none" w:sz="0" w:space="0" w:color="auto"/>
        <w:bottom w:val="none" w:sz="0" w:space="0" w:color="auto"/>
        <w:right w:val="none" w:sz="0" w:space="0" w:color="auto"/>
      </w:divBdr>
    </w:div>
    <w:div w:id="1030953779">
      <w:bodyDiv w:val="1"/>
      <w:marLeft w:val="0"/>
      <w:marRight w:val="0"/>
      <w:marTop w:val="0"/>
      <w:marBottom w:val="0"/>
      <w:divBdr>
        <w:top w:val="none" w:sz="0" w:space="0" w:color="auto"/>
        <w:left w:val="none" w:sz="0" w:space="0" w:color="auto"/>
        <w:bottom w:val="none" w:sz="0" w:space="0" w:color="auto"/>
        <w:right w:val="none" w:sz="0" w:space="0" w:color="auto"/>
      </w:divBdr>
    </w:div>
    <w:div w:id="195836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A2D3D-CDD7-4D01-9D91-3DAD56D7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RITCHIE Mark</dc:creator>
  <cp:lastModifiedBy>FRANCESCHI Maurice</cp:lastModifiedBy>
  <cp:revision>5</cp:revision>
  <cp:lastPrinted>2013-11-14T13:51:00Z</cp:lastPrinted>
  <dcterms:created xsi:type="dcterms:W3CDTF">2013-11-14T15:27:00Z</dcterms:created>
  <dcterms:modified xsi:type="dcterms:W3CDTF">2013-11-29T09:40:00Z</dcterms:modified>
</cp:coreProperties>
</file>