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r w:rsidRPr="00097D93">
        <w:t xml:space="preserve">IS Applications </w:t>
      </w:r>
      <w:r w:rsidR="00DE0845">
        <w:t>3 Year Rolling</w:t>
      </w:r>
      <w:r w:rsidR="00DE0845" w:rsidRPr="00097D93">
        <w:t xml:space="preserve"> </w:t>
      </w:r>
      <w:r w:rsidRPr="00097D93">
        <w:t>Planning 201</w:t>
      </w:r>
      <w:r w:rsidR="00DE0845">
        <w:t>4</w:t>
      </w:r>
      <w:r w:rsidRPr="00097D93">
        <w:t>/1</w:t>
      </w:r>
      <w:r w:rsidR="00DE0845">
        <w:t>5 to 2016/17</w:t>
      </w:r>
    </w:p>
    <w:p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1843"/>
        <w:gridCol w:w="1843"/>
      </w:tblGrid>
      <w:tr w:rsidR="000D528D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19" w:type="dxa"/>
            <w:gridSpan w:val="2"/>
          </w:tcPr>
          <w:p w:rsidR="009F3B26" w:rsidRPr="008B5CEE" w:rsidRDefault="00B83B0D" w:rsidP="00C26119">
            <w:pPr>
              <w:rPr>
                <w:i/>
              </w:rPr>
            </w:pPr>
            <w:r>
              <w:rPr>
                <w:i/>
              </w:rPr>
              <w:t>Infrastructure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1843" w:type="dxa"/>
          </w:tcPr>
          <w:p w:rsidR="009F3B26" w:rsidRPr="008B5CEE" w:rsidRDefault="00520FEB" w:rsidP="00C26119">
            <w:pPr>
              <w:rPr>
                <w:i/>
              </w:rPr>
            </w:pPr>
            <w:r>
              <w:rPr>
                <w:i/>
              </w:rPr>
              <w:t>C</w:t>
            </w:r>
          </w:p>
        </w:tc>
      </w:tr>
      <w:tr w:rsidR="001B4393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19" w:type="dxa"/>
            <w:gridSpan w:val="2"/>
          </w:tcPr>
          <w:p w:rsidR="001B4393" w:rsidRPr="008B5CEE" w:rsidRDefault="00B83B0D" w:rsidP="00C26119">
            <w:pPr>
              <w:rPr>
                <w:i/>
              </w:rPr>
            </w:pPr>
            <w:r>
              <w:rPr>
                <w:i/>
              </w:rPr>
              <w:t xml:space="preserve">ISG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8505" w:type="dxa"/>
            <w:gridSpan w:val="4"/>
          </w:tcPr>
          <w:p w:rsidR="008B5CEE" w:rsidRDefault="00FF51EE" w:rsidP="00C26119">
            <w:pPr>
              <w:rPr>
                <w:i/>
              </w:rPr>
            </w:pPr>
            <w:r>
              <w:rPr>
                <w:i/>
              </w:rPr>
              <w:t>New Application Tier Replacement</w:t>
            </w:r>
          </w:p>
          <w:p w:rsidR="00044CE5" w:rsidRPr="008B5CEE" w:rsidRDefault="00044CE5" w:rsidP="00C26119">
            <w:pPr>
              <w:rPr>
                <w:i/>
              </w:rPr>
            </w:pP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Default="00B4303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8505" w:type="dxa"/>
            <w:gridSpan w:val="4"/>
          </w:tcPr>
          <w:p w:rsidR="000C3623" w:rsidRDefault="00B83B0D" w:rsidP="00C26119">
            <w:pPr>
              <w:rPr>
                <w:i/>
              </w:rPr>
            </w:pPr>
            <w:r>
              <w:rPr>
                <w:i/>
              </w:rPr>
              <w:t>David Smyth</w:t>
            </w:r>
          </w:p>
          <w:p w:rsidR="00B83B0D" w:rsidRPr="008B5CEE" w:rsidRDefault="00B83B0D" w:rsidP="00C26119">
            <w:pPr>
              <w:rPr>
                <w:i/>
              </w:rPr>
            </w:pPr>
          </w:p>
        </w:tc>
      </w:tr>
      <w:tr w:rsidR="009C27AB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505" w:type="dxa"/>
            <w:gridSpan w:val="4"/>
          </w:tcPr>
          <w:p w:rsidR="009C27AB" w:rsidRDefault="00B83B0D" w:rsidP="00C26119">
            <w:pPr>
              <w:rPr>
                <w:i/>
              </w:rPr>
            </w:pPr>
            <w:r>
              <w:rPr>
                <w:i/>
              </w:rPr>
              <w:t xml:space="preserve">Heather </w:t>
            </w:r>
            <w:proofErr w:type="spellStart"/>
            <w:r>
              <w:rPr>
                <w:i/>
              </w:rPr>
              <w:t>Larnach</w:t>
            </w:r>
            <w:proofErr w:type="spellEnd"/>
            <w:r>
              <w:rPr>
                <w:i/>
              </w:rPr>
              <w:t xml:space="preserve">, Iain </w:t>
            </w:r>
            <w:proofErr w:type="spellStart"/>
            <w:r>
              <w:rPr>
                <w:i/>
              </w:rPr>
              <w:t>Fiddes</w:t>
            </w:r>
            <w:proofErr w:type="spellEnd"/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F3B26" w:rsidRPr="00097D93" w:rsidTr="000C3623">
        <w:trPr>
          <w:trHeight w:val="988"/>
        </w:trPr>
        <w:tc>
          <w:tcPr>
            <w:tcW w:w="2093" w:type="dxa"/>
            <w:shd w:val="clear" w:color="auto" w:fill="D9D9D9" w:themeFill="background1" w:themeFillShade="D9"/>
          </w:tcPr>
          <w:p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8505" w:type="dxa"/>
            <w:gridSpan w:val="4"/>
          </w:tcPr>
          <w:p w:rsidR="009F3B26" w:rsidRPr="009F3B26" w:rsidRDefault="00CE2BAD" w:rsidP="00FF51EE">
            <w:r>
              <w:t xml:space="preserve">This project is to </w:t>
            </w:r>
            <w:r w:rsidR="00FF51EE">
              <w:t>provide a new infrastructure for the application tier, implementing the recommendations of the 13/14 INF104 project.</w:t>
            </w:r>
            <w:r w:rsidR="00BC12B4">
              <w:t xml:space="preserve"> </w:t>
            </w:r>
            <w:bookmarkStart w:id="0" w:name="_GoBack"/>
            <w:r w:rsidR="00BC12B4">
              <w:t xml:space="preserve">This would be a skeleton framework implemented to support the application tier going forward and to underpin any new developments in the application tier </w:t>
            </w:r>
            <w:bookmarkEnd w:id="0"/>
            <w:r w:rsidR="00BC12B4">
              <w:t>across business areas.</w:t>
            </w:r>
            <w:r w:rsidR="00560A6F">
              <w:t xml:space="preserve"> This project will only provide the infrastructure and will not include any migrations.</w:t>
            </w:r>
          </w:p>
          <w:p w:rsidR="009F3B26" w:rsidRPr="008B5CEE" w:rsidRDefault="009F3B26" w:rsidP="00C26119">
            <w:pPr>
              <w:rPr>
                <w:i/>
              </w:rPr>
            </w:pPr>
          </w:p>
        </w:tc>
      </w:tr>
      <w:tr w:rsidR="0097066C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5D0AFD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05" w:type="dxa"/>
            <w:gridSpan w:val="4"/>
          </w:tcPr>
          <w:p w:rsidR="00266BC4" w:rsidRDefault="00BC12B4" w:rsidP="00DA1186">
            <w:r>
              <w:t>This is need</w:t>
            </w:r>
            <w:r w:rsidR="00560A6F">
              <w:t xml:space="preserve">ed to provide a more up to date </w:t>
            </w:r>
            <w:r>
              <w:t xml:space="preserve">application environment that is complementary to the </w:t>
            </w:r>
            <w:r w:rsidR="00560A6F">
              <w:t xml:space="preserve">new database environment </w:t>
            </w:r>
            <w:r>
              <w:t xml:space="preserve">and to provide an exit strategy for applications currently running on obsolete infrastructure. </w:t>
            </w:r>
            <w:r w:rsidR="00266BC4">
              <w:t xml:space="preserve">(Solaris infrastructure end of life </w:t>
            </w:r>
            <w:proofErr w:type="gramStart"/>
            <w:r w:rsidR="00266BC4">
              <w:t>in ???)</w:t>
            </w:r>
            <w:proofErr w:type="gramEnd"/>
            <w:r w:rsidR="00266BC4">
              <w:t xml:space="preserve"> </w:t>
            </w:r>
            <w:r>
              <w:t>This will also provide significant improvements in management particularly in patching and maintenance.</w:t>
            </w:r>
          </w:p>
          <w:p w:rsidR="00BE3EFE" w:rsidRPr="00A8060F" w:rsidRDefault="00266BC4" w:rsidP="00DA1186">
            <w:r>
              <w:t>Maintenance cost savings will be realised when the Solaris infrastructure is fully decommissioned</w:t>
            </w:r>
            <w:r w:rsidR="00BC12B4">
              <w:t xml:space="preserve"> </w:t>
            </w:r>
          </w:p>
        </w:tc>
      </w:tr>
      <w:tr w:rsidR="00DE0845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DE0845" w:rsidRDefault="00DE0845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</w:p>
        </w:tc>
        <w:tc>
          <w:tcPr>
            <w:tcW w:w="8505" w:type="dxa"/>
            <w:gridSpan w:val="4"/>
          </w:tcPr>
          <w:p w:rsidR="00DE0845" w:rsidRDefault="00BA0471" w:rsidP="00C26119">
            <w:pPr>
              <w:rPr>
                <w:i/>
              </w:rPr>
            </w:pPr>
            <w:r>
              <w:rPr>
                <w:i/>
              </w:rPr>
              <w:t>Start Year: 2014/15</w:t>
            </w:r>
          </w:p>
          <w:p w:rsidR="00DE0845" w:rsidRDefault="00DE0845" w:rsidP="00C26119">
            <w:pPr>
              <w:rPr>
                <w:i/>
              </w:rPr>
            </w:pPr>
            <w:r>
              <w:rPr>
                <w:i/>
              </w:rPr>
              <w:t xml:space="preserve">Duration (No. of Years): </w:t>
            </w:r>
            <w:r w:rsidR="00BA0471">
              <w:rPr>
                <w:i/>
              </w:rPr>
              <w:t>1</w:t>
            </w:r>
          </w:p>
          <w:p w:rsidR="00DE0845" w:rsidRPr="00044CE5" w:rsidRDefault="00DE0845" w:rsidP="00C26119">
            <w:pPr>
              <w:rPr>
                <w:i/>
              </w:rPr>
            </w:pPr>
          </w:p>
        </w:tc>
      </w:tr>
      <w:tr w:rsidR="002045FB" w:rsidRPr="00097D93" w:rsidTr="004E5ABA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 w:rsidRPr="00BB165D">
              <w:rPr>
                <w:sz w:val="24"/>
                <w:szCs w:val="24"/>
              </w:rPr>
              <w:t>Type of 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045FB" w:rsidRPr="008B5CEE" w:rsidRDefault="002045FB" w:rsidP="00A458AA">
            <w:pPr>
              <w:rPr>
                <w:i/>
              </w:rPr>
            </w:pPr>
            <w:r w:rsidRPr="00BA0471">
              <w:rPr>
                <w:i/>
              </w:rPr>
              <w:t xml:space="preserve">Compliance* 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45FB" w:rsidRPr="005D0AFD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3686" w:type="dxa"/>
            <w:gridSpan w:val="2"/>
          </w:tcPr>
          <w:p w:rsidR="002045FB" w:rsidRPr="008B5CEE" w:rsidRDefault="002045FB" w:rsidP="004E5ABA">
            <w:pPr>
              <w:rPr>
                <w:i/>
              </w:rPr>
            </w:pPr>
            <w:r w:rsidRPr="00BB165D">
              <w:rPr>
                <w:i/>
              </w:rPr>
              <w:t>Core Grant / Sponsor Funded</w:t>
            </w:r>
          </w:p>
        </w:tc>
      </w:tr>
      <w:tr w:rsidR="002045FB" w:rsidRPr="00097D93" w:rsidTr="002045FB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*Compliance Justification </w:t>
            </w:r>
          </w:p>
        </w:tc>
        <w:tc>
          <w:tcPr>
            <w:tcW w:w="2977" w:type="dxa"/>
          </w:tcPr>
          <w:p w:rsidR="002045FB" w:rsidRDefault="002045FB" w:rsidP="004E5ABA">
            <w:pPr>
              <w:rPr>
                <w:i/>
              </w:rPr>
            </w:pPr>
            <w:r>
              <w:rPr>
                <w:i/>
              </w:rPr>
              <w:t>Provide brief details re. why this should be considered Compliance</w:t>
            </w:r>
          </w:p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Pr="008B5CEE" w:rsidRDefault="00BE3EFE" w:rsidP="004E5ABA">
            <w:pPr>
              <w:rPr>
                <w:i/>
              </w:rPr>
            </w:pPr>
          </w:p>
        </w:tc>
        <w:tc>
          <w:tcPr>
            <w:tcW w:w="1842" w:type="dxa"/>
          </w:tcPr>
          <w:p w:rsidR="002045FB" w:rsidRDefault="002045FB" w:rsidP="0020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</w:p>
          <w:p w:rsidR="002045FB" w:rsidRPr="008B5CEE" w:rsidRDefault="002045FB" w:rsidP="004E5ABA">
            <w:pPr>
              <w:rPr>
                <w:i/>
              </w:rPr>
            </w:pPr>
          </w:p>
        </w:tc>
        <w:tc>
          <w:tcPr>
            <w:tcW w:w="3686" w:type="dxa"/>
            <w:gridSpan w:val="2"/>
          </w:tcPr>
          <w:p w:rsidR="002045FB" w:rsidRPr="008B5CEE" w:rsidRDefault="002045FB" w:rsidP="004E5ABA">
            <w:pPr>
              <w:rPr>
                <w:i/>
              </w:rPr>
            </w:pPr>
            <w:r>
              <w:rPr>
                <w:i/>
              </w:rPr>
              <w:t>New /Carry Over</w:t>
            </w:r>
          </w:p>
        </w:tc>
      </w:tr>
    </w:tbl>
    <w:p w:rsidR="002045FB" w:rsidRDefault="002045FB"/>
    <w:p w:rsidR="00BE3EFE" w:rsidRDefault="00BE3EF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045FB" w:rsidRPr="009F3B26" w:rsidRDefault="002045FB" w:rsidP="002045FB">
      <w:pPr>
        <w:pStyle w:val="Heading2"/>
      </w:pPr>
      <w:r>
        <w:lastRenderedPageBreak/>
        <w:t>Estimation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059"/>
        <w:gridCol w:w="3388"/>
        <w:gridCol w:w="4300"/>
      </w:tblGrid>
      <w:tr w:rsidR="002045FB" w:rsidRPr="00097D93" w:rsidTr="00BE3EFE">
        <w:trPr>
          <w:trHeight w:val="597"/>
        </w:trPr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Estimation Type </w:t>
            </w:r>
          </w:p>
          <w:p w:rsidR="002045FB" w:rsidRPr="005D0AFD" w:rsidRDefault="002045FB" w:rsidP="00044CE5">
            <w:pPr>
              <w:rPr>
                <w:i/>
                <w:sz w:val="24"/>
                <w:szCs w:val="24"/>
              </w:rPr>
            </w:pPr>
          </w:p>
          <w:p w:rsidR="002045FB" w:rsidRPr="005D0AFD" w:rsidRDefault="002045FB" w:rsidP="00044CE5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 xml:space="preserve">Software </w:t>
            </w:r>
            <w:r>
              <w:rPr>
                <w:i/>
              </w:rPr>
              <w:t>Development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044CE5" w:rsidRDefault="002045FB" w:rsidP="00044CE5">
            <w:pPr>
              <w:rPr>
                <w:i/>
              </w:rPr>
            </w:pPr>
            <w:r>
              <w:rPr>
                <w:i/>
              </w:rPr>
              <w:t>Software Configuration e.g. SITS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Infrastructure Development</w:t>
            </w:r>
          </w:p>
        </w:tc>
        <w:tc>
          <w:tcPr>
            <w:tcW w:w="4300" w:type="dxa"/>
          </w:tcPr>
          <w:p w:rsidR="002045FB" w:rsidRPr="008B5CEE" w:rsidRDefault="00BA0471" w:rsidP="00044CE5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Business Case</w:t>
            </w:r>
            <w:r>
              <w:rPr>
                <w:i/>
              </w:rPr>
              <w:t xml:space="preserve"> / Options Appraisal 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Procurement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Impleme</w:t>
            </w:r>
            <w:r>
              <w:rPr>
                <w:i/>
              </w:rPr>
              <w:t>nt Package Solution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0D528D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0D528D" w:rsidRPr="009F3B26" w:rsidRDefault="000D528D" w:rsidP="00C26119">
            <w:r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1059" w:type="dxa"/>
          </w:tcPr>
          <w:p w:rsidR="000D528D" w:rsidRDefault="00E7559D" w:rsidP="00C26119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4300" w:type="dxa"/>
          </w:tcPr>
          <w:p w:rsidR="000D528D" w:rsidRDefault="00BA0471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DE0845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DE0845" w:rsidRDefault="00C82AE0" w:rsidP="00C26119">
            <w:r w:rsidRPr="00C82AE0">
              <w:t>Estimated Service Management Days</w:t>
            </w:r>
          </w:p>
        </w:tc>
        <w:tc>
          <w:tcPr>
            <w:tcW w:w="1059" w:type="dxa"/>
          </w:tcPr>
          <w:p w:rsidR="00DE0845" w:rsidRDefault="00BA0471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DE0845" w:rsidRDefault="00C82AE0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on other Service area</w:t>
            </w:r>
          </w:p>
        </w:tc>
        <w:tc>
          <w:tcPr>
            <w:tcW w:w="4300" w:type="dxa"/>
          </w:tcPr>
          <w:p w:rsidR="000C3623" w:rsidRDefault="00BA0471" w:rsidP="00C26119">
            <w:pPr>
              <w:rPr>
                <w:i/>
              </w:rPr>
            </w:pPr>
            <w:r>
              <w:rPr>
                <w:i/>
              </w:rPr>
              <w:t xml:space="preserve">n/a </w:t>
            </w:r>
          </w:p>
        </w:tc>
      </w:tr>
      <w:tr w:rsidR="00731723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731723" w:rsidRDefault="0073172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Estimation Confidence </w:t>
            </w:r>
            <w:r w:rsidR="00792EF2">
              <w:rPr>
                <w:i/>
              </w:rPr>
              <w:t>(delete as required)</w:t>
            </w:r>
          </w:p>
        </w:tc>
        <w:tc>
          <w:tcPr>
            <w:tcW w:w="8747" w:type="dxa"/>
            <w:gridSpan w:val="3"/>
          </w:tcPr>
          <w:p w:rsidR="00731723" w:rsidRDefault="00731723" w:rsidP="00BA0471">
            <w:pPr>
              <w:rPr>
                <w:i/>
              </w:rPr>
            </w:pPr>
            <w:r>
              <w:rPr>
                <w:i/>
              </w:rPr>
              <w:t>Reasonably Confident (Similar to previous work)</w:t>
            </w:r>
          </w:p>
        </w:tc>
      </w:tr>
      <w:tr w:rsidR="009F3B26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8747" w:type="dxa"/>
            <w:gridSpan w:val="3"/>
          </w:tcPr>
          <w:p w:rsidR="009F3B26" w:rsidRDefault="000D528D" w:rsidP="00C26119">
            <w:pPr>
              <w:rPr>
                <w:i/>
              </w:rPr>
            </w:pPr>
            <w:r>
              <w:rPr>
                <w:i/>
              </w:rPr>
              <w:t>Justification for the Estimat</w:t>
            </w:r>
            <w:r w:rsidR="00731723">
              <w:rPr>
                <w:i/>
              </w:rPr>
              <w:t xml:space="preserve">ed Days and Estimation Confidence. This section is </w:t>
            </w:r>
            <w:r w:rsidR="00B4303F">
              <w:rPr>
                <w:i/>
              </w:rPr>
              <w:t xml:space="preserve">also </w:t>
            </w:r>
            <w:r w:rsidR="00731723">
              <w:rPr>
                <w:i/>
              </w:rPr>
              <w:t xml:space="preserve">used to provide </w:t>
            </w:r>
            <w:r>
              <w:rPr>
                <w:i/>
              </w:rPr>
              <w:t xml:space="preserve">any other </w:t>
            </w:r>
            <w:r w:rsidR="00731723">
              <w:rPr>
                <w:i/>
              </w:rPr>
              <w:t xml:space="preserve">relevant </w:t>
            </w:r>
            <w:r>
              <w:rPr>
                <w:i/>
              </w:rPr>
              <w:t>information the</w:t>
            </w:r>
            <w:r w:rsidR="00731723">
              <w:rPr>
                <w:i/>
              </w:rPr>
              <w:t xml:space="preserve"> proposal</w:t>
            </w:r>
            <w:r w:rsidR="00144C94">
              <w:rPr>
                <w:i/>
              </w:rPr>
              <w:t xml:space="preserve"> </w:t>
            </w:r>
            <w:r>
              <w:rPr>
                <w:i/>
              </w:rPr>
              <w:t>estimate</w:t>
            </w:r>
            <w:r w:rsidR="00B4303F">
              <w:rPr>
                <w:i/>
              </w:rPr>
              <w:t>.</w:t>
            </w:r>
            <w:r>
              <w:rPr>
                <w:i/>
              </w:rPr>
              <w:t xml:space="preserve"> Th</w:t>
            </w:r>
            <w:r w:rsidR="00731723">
              <w:rPr>
                <w:i/>
              </w:rPr>
              <w:t>i</w:t>
            </w:r>
            <w:r>
              <w:rPr>
                <w:i/>
              </w:rPr>
              <w:t>s may include:</w:t>
            </w:r>
          </w:p>
          <w:p w:rsidR="00731723" w:rsidRPr="00792EF2" w:rsidRDefault="00731723" w:rsidP="00792EF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Assumptions about the project approach, scope or deliverables</w:t>
            </w:r>
          </w:p>
          <w:p w:rsidR="000D528D" w:rsidRDefault="00731723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Details of p</w:t>
            </w:r>
            <w:r w:rsidR="000D528D">
              <w:rPr>
                <w:i/>
              </w:rPr>
              <w:t>revious similar projects</w:t>
            </w:r>
          </w:p>
          <w:p w:rsidR="000D528D" w:rsidRDefault="009C27AB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Risks or other unknown elements </w:t>
            </w:r>
          </w:p>
          <w:p w:rsidR="009C27AB" w:rsidRPr="009C27AB" w:rsidRDefault="009C27AB" w:rsidP="009C27AB">
            <w:pPr>
              <w:rPr>
                <w:i/>
              </w:rPr>
            </w:pPr>
            <w:r>
              <w:rPr>
                <w:i/>
              </w:rPr>
              <w:t>Record as many details as are relevant</w:t>
            </w: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:rsidR="000D528D" w:rsidRDefault="001B4393" w:rsidP="000D528D">
      <w:pPr>
        <w:pStyle w:val="ListParagraph"/>
        <w:numPr>
          <w:ilvl w:val="0"/>
          <w:numId w:val="3"/>
        </w:numPr>
      </w:pPr>
      <w:r w:rsidRPr="00BE3EFE">
        <w:rPr>
          <w:sz w:val="24"/>
          <w:szCs w:val="24"/>
        </w:rPr>
        <w:t xml:space="preserve">Extra Large – 500 days </w:t>
      </w:r>
      <w:r w:rsidR="000D528D">
        <w:tab/>
      </w:r>
      <w:r w:rsidR="000D528D">
        <w:tab/>
      </w:r>
      <w:r w:rsidR="000D528D">
        <w:tab/>
      </w:r>
      <w:r w:rsidR="000D528D">
        <w:tab/>
      </w:r>
      <w:r w:rsidR="000D528D"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44CE5"/>
    <w:rsid w:val="0005231F"/>
    <w:rsid w:val="00096F08"/>
    <w:rsid w:val="00097D93"/>
    <w:rsid w:val="000A58CD"/>
    <w:rsid w:val="000C3623"/>
    <w:rsid w:val="000D528D"/>
    <w:rsid w:val="00144C94"/>
    <w:rsid w:val="001B4393"/>
    <w:rsid w:val="002045FB"/>
    <w:rsid w:val="00266BC4"/>
    <w:rsid w:val="00270B09"/>
    <w:rsid w:val="002B5C0C"/>
    <w:rsid w:val="002F0A4F"/>
    <w:rsid w:val="00520FEB"/>
    <w:rsid w:val="00560A6F"/>
    <w:rsid w:val="005838E1"/>
    <w:rsid w:val="005B0308"/>
    <w:rsid w:val="005D0AFD"/>
    <w:rsid w:val="006C5F92"/>
    <w:rsid w:val="00731723"/>
    <w:rsid w:val="0076682F"/>
    <w:rsid w:val="00792EF2"/>
    <w:rsid w:val="008B5CEE"/>
    <w:rsid w:val="008E4330"/>
    <w:rsid w:val="0097066C"/>
    <w:rsid w:val="00973AD1"/>
    <w:rsid w:val="009B4299"/>
    <w:rsid w:val="009C04BA"/>
    <w:rsid w:val="009C27AB"/>
    <w:rsid w:val="009F3B26"/>
    <w:rsid w:val="00A11DD6"/>
    <w:rsid w:val="00A458AA"/>
    <w:rsid w:val="00A73856"/>
    <w:rsid w:val="00A8060F"/>
    <w:rsid w:val="00B4303F"/>
    <w:rsid w:val="00B47876"/>
    <w:rsid w:val="00B83B0D"/>
    <w:rsid w:val="00BA0471"/>
    <w:rsid w:val="00BB165D"/>
    <w:rsid w:val="00BC12B4"/>
    <w:rsid w:val="00BE3EFE"/>
    <w:rsid w:val="00C26119"/>
    <w:rsid w:val="00C63351"/>
    <w:rsid w:val="00C82AE0"/>
    <w:rsid w:val="00CC3574"/>
    <w:rsid w:val="00CE2BAD"/>
    <w:rsid w:val="00CF2D42"/>
    <w:rsid w:val="00CF4FEA"/>
    <w:rsid w:val="00DA1186"/>
    <w:rsid w:val="00DB0320"/>
    <w:rsid w:val="00DE0845"/>
    <w:rsid w:val="00E30C96"/>
    <w:rsid w:val="00E7559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2B06-4441-460D-A440-D0E65D0F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FRANCESCHI Maurice</cp:lastModifiedBy>
  <cp:revision>7</cp:revision>
  <cp:lastPrinted>2013-11-14T13:51:00Z</cp:lastPrinted>
  <dcterms:created xsi:type="dcterms:W3CDTF">2013-11-20T16:56:00Z</dcterms:created>
  <dcterms:modified xsi:type="dcterms:W3CDTF">2013-11-27T14:45:00Z</dcterms:modified>
</cp:coreProperties>
</file>