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BEA4B" w14:textId="77777777" w:rsidR="008E4330" w:rsidRDefault="00097D93" w:rsidP="00C82AE0">
      <w:pPr>
        <w:pStyle w:val="Heading1"/>
        <w:jc w:val="center"/>
      </w:pPr>
      <w:r w:rsidRPr="00097D93">
        <w:t xml:space="preserve">IS Applications </w:t>
      </w:r>
      <w:r w:rsidR="00DE0845">
        <w:t>3 Year Rolling</w:t>
      </w:r>
      <w:r w:rsidR="00DE0845" w:rsidRPr="00097D93">
        <w:t xml:space="preserve"> </w:t>
      </w:r>
      <w:r w:rsidRPr="00097D93">
        <w:t>Planning 201</w:t>
      </w:r>
      <w:r w:rsidR="00DE0845">
        <w:t>4</w:t>
      </w:r>
      <w:r w:rsidRPr="00097D93">
        <w:t>/1</w:t>
      </w:r>
      <w:r w:rsidR="00DE0845">
        <w:t>5 to 2016/17</w:t>
      </w:r>
    </w:p>
    <w:p w14:paraId="2BC81A23" w14:textId="77777777"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2977"/>
        <w:gridCol w:w="1842"/>
        <w:gridCol w:w="1843"/>
        <w:gridCol w:w="1843"/>
      </w:tblGrid>
      <w:tr w:rsidR="000D528D" w:rsidRPr="008B5CEE" w14:paraId="7092FF0F" w14:textId="77777777" w:rsidTr="000C3623">
        <w:tc>
          <w:tcPr>
            <w:tcW w:w="2093" w:type="dxa"/>
            <w:shd w:val="clear" w:color="auto" w:fill="D9D9D9" w:themeFill="background1" w:themeFillShade="D9"/>
          </w:tcPr>
          <w:p w14:paraId="369F70DB" w14:textId="77777777" w:rsidR="009F3B26" w:rsidRPr="00097D93" w:rsidRDefault="009F3B26" w:rsidP="00C26119">
            <w:pPr>
              <w:rPr>
                <w:sz w:val="24"/>
                <w:szCs w:val="24"/>
              </w:rPr>
            </w:pPr>
            <w:r>
              <w:rPr>
                <w:sz w:val="24"/>
                <w:szCs w:val="24"/>
              </w:rPr>
              <w:t>Programme</w:t>
            </w:r>
          </w:p>
        </w:tc>
        <w:tc>
          <w:tcPr>
            <w:tcW w:w="4819" w:type="dxa"/>
            <w:gridSpan w:val="2"/>
          </w:tcPr>
          <w:p w14:paraId="1DB9479E" w14:textId="25906A1B" w:rsidR="009F3B26" w:rsidRPr="008B5CEE" w:rsidRDefault="00DE2E9F" w:rsidP="00C26119">
            <w:pPr>
              <w:rPr>
                <w:i/>
              </w:rPr>
            </w:pPr>
            <w:r>
              <w:rPr>
                <w:i/>
              </w:rPr>
              <w:t>Infrastructure</w:t>
            </w:r>
          </w:p>
        </w:tc>
        <w:tc>
          <w:tcPr>
            <w:tcW w:w="1843" w:type="dxa"/>
            <w:shd w:val="clear" w:color="auto" w:fill="D9D9D9" w:themeFill="background1" w:themeFillShade="D9"/>
          </w:tcPr>
          <w:p w14:paraId="67FD4BDE" w14:textId="77777777" w:rsidR="009F3B26" w:rsidRPr="005D0AFD" w:rsidRDefault="009F3B26" w:rsidP="00C26119">
            <w:pPr>
              <w:rPr>
                <w:sz w:val="24"/>
                <w:szCs w:val="24"/>
              </w:rPr>
            </w:pPr>
            <w:r w:rsidRPr="005D0AFD">
              <w:rPr>
                <w:sz w:val="24"/>
                <w:szCs w:val="24"/>
              </w:rPr>
              <w:t>Programme Priority</w:t>
            </w:r>
          </w:p>
        </w:tc>
        <w:tc>
          <w:tcPr>
            <w:tcW w:w="1843" w:type="dxa"/>
          </w:tcPr>
          <w:p w14:paraId="7B546AD2" w14:textId="361B1B5F" w:rsidR="009F3B26" w:rsidRPr="008B5CEE" w:rsidRDefault="008E1A15" w:rsidP="00C26119">
            <w:pPr>
              <w:rPr>
                <w:i/>
              </w:rPr>
            </w:pPr>
            <w:r>
              <w:rPr>
                <w:i/>
              </w:rPr>
              <w:t>C</w:t>
            </w:r>
          </w:p>
        </w:tc>
      </w:tr>
      <w:tr w:rsidR="001B4393" w:rsidRPr="008B5CEE" w14:paraId="08B0A527" w14:textId="77777777" w:rsidTr="000C3623">
        <w:tc>
          <w:tcPr>
            <w:tcW w:w="2093" w:type="dxa"/>
            <w:shd w:val="clear" w:color="auto" w:fill="D9D9D9" w:themeFill="background1" w:themeFillShade="D9"/>
          </w:tcPr>
          <w:p w14:paraId="524FDD8E" w14:textId="77777777" w:rsidR="001B4393" w:rsidRDefault="001B4393" w:rsidP="00C26119">
            <w:pPr>
              <w:rPr>
                <w:sz w:val="24"/>
                <w:szCs w:val="24"/>
              </w:rPr>
            </w:pPr>
            <w:r>
              <w:rPr>
                <w:sz w:val="24"/>
                <w:szCs w:val="24"/>
              </w:rPr>
              <w:t>Portfolio</w:t>
            </w:r>
          </w:p>
        </w:tc>
        <w:tc>
          <w:tcPr>
            <w:tcW w:w="4819" w:type="dxa"/>
            <w:gridSpan w:val="2"/>
          </w:tcPr>
          <w:p w14:paraId="5CF37B35" w14:textId="77777777" w:rsidR="001B4393" w:rsidRPr="008B5CEE" w:rsidRDefault="00200E6B" w:rsidP="00C26119">
            <w:pPr>
              <w:rPr>
                <w:i/>
              </w:rPr>
            </w:pPr>
            <w:r>
              <w:rPr>
                <w:i/>
              </w:rPr>
              <w:t>ISG</w:t>
            </w:r>
          </w:p>
        </w:tc>
        <w:tc>
          <w:tcPr>
            <w:tcW w:w="1843" w:type="dxa"/>
            <w:shd w:val="clear" w:color="auto" w:fill="D9D9D9" w:themeFill="background1" w:themeFillShade="D9"/>
          </w:tcPr>
          <w:p w14:paraId="03CA8C4E" w14:textId="77777777"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14:paraId="0C753CF8" w14:textId="77777777" w:rsidR="001B4393" w:rsidRPr="008B5CEE" w:rsidRDefault="001B4393" w:rsidP="00C26119">
            <w:pPr>
              <w:rPr>
                <w:i/>
              </w:rPr>
            </w:pPr>
          </w:p>
        </w:tc>
      </w:tr>
      <w:tr w:rsidR="008B5CEE" w:rsidRPr="00097D93" w14:paraId="70FC99DC" w14:textId="77777777" w:rsidTr="000C3623">
        <w:tc>
          <w:tcPr>
            <w:tcW w:w="2093" w:type="dxa"/>
            <w:shd w:val="clear" w:color="auto" w:fill="D9D9D9" w:themeFill="background1" w:themeFillShade="D9"/>
          </w:tcPr>
          <w:p w14:paraId="7BBC7F56" w14:textId="77777777" w:rsidR="008B5CEE" w:rsidRPr="00097D93" w:rsidRDefault="009F3B26" w:rsidP="00C26119">
            <w:pPr>
              <w:rPr>
                <w:sz w:val="24"/>
                <w:szCs w:val="24"/>
              </w:rPr>
            </w:pPr>
            <w:r>
              <w:rPr>
                <w:sz w:val="24"/>
                <w:szCs w:val="24"/>
              </w:rPr>
              <w:t>Proposal Name</w:t>
            </w:r>
          </w:p>
        </w:tc>
        <w:tc>
          <w:tcPr>
            <w:tcW w:w="8505" w:type="dxa"/>
            <w:gridSpan w:val="4"/>
          </w:tcPr>
          <w:p w14:paraId="5EDA1FA3" w14:textId="17FF3EDB" w:rsidR="00044CE5" w:rsidRPr="008B5CEE" w:rsidRDefault="008E1A15" w:rsidP="00C26119">
            <w:pPr>
              <w:rPr>
                <w:i/>
              </w:rPr>
            </w:pPr>
            <w:r w:rsidRPr="008E1A15">
              <w:rPr>
                <w:i/>
              </w:rPr>
              <w:t xml:space="preserve">Annual upgrades of development tools (JIRA, Bamboo, </w:t>
            </w:r>
            <w:proofErr w:type="spellStart"/>
            <w:r w:rsidRPr="008E1A15">
              <w:rPr>
                <w:i/>
              </w:rPr>
              <w:t>etc</w:t>
            </w:r>
            <w:proofErr w:type="spellEnd"/>
            <w:r w:rsidRPr="008E1A15">
              <w:rPr>
                <w:i/>
              </w:rPr>
              <w:t>)</w:t>
            </w:r>
          </w:p>
        </w:tc>
      </w:tr>
      <w:tr w:rsidR="008B5CEE" w:rsidRPr="00097D93" w14:paraId="77A492E0" w14:textId="77777777" w:rsidTr="000C3623">
        <w:tc>
          <w:tcPr>
            <w:tcW w:w="2093" w:type="dxa"/>
            <w:shd w:val="clear" w:color="auto" w:fill="D9D9D9" w:themeFill="background1" w:themeFillShade="D9"/>
          </w:tcPr>
          <w:p w14:paraId="25A79179" w14:textId="77777777" w:rsidR="008B5CEE" w:rsidRDefault="00B4303F" w:rsidP="00C26119">
            <w:pPr>
              <w:rPr>
                <w:sz w:val="24"/>
                <w:szCs w:val="24"/>
              </w:rPr>
            </w:pPr>
            <w:r>
              <w:rPr>
                <w:sz w:val="24"/>
                <w:szCs w:val="24"/>
              </w:rPr>
              <w:t>Proposal Sponsor</w:t>
            </w:r>
          </w:p>
        </w:tc>
        <w:tc>
          <w:tcPr>
            <w:tcW w:w="8505" w:type="dxa"/>
            <w:gridSpan w:val="4"/>
          </w:tcPr>
          <w:p w14:paraId="28848EDF" w14:textId="77777777" w:rsidR="008B5CEE" w:rsidRDefault="00200E6B" w:rsidP="00C26119">
            <w:pPr>
              <w:rPr>
                <w:i/>
              </w:rPr>
            </w:pPr>
            <w:r>
              <w:rPr>
                <w:i/>
              </w:rPr>
              <w:t>David Smyth</w:t>
            </w:r>
          </w:p>
          <w:p w14:paraId="0069D888" w14:textId="77777777" w:rsidR="000C3623" w:rsidRPr="008B5CEE" w:rsidRDefault="000C3623" w:rsidP="00C26119">
            <w:pPr>
              <w:rPr>
                <w:i/>
              </w:rPr>
            </w:pPr>
          </w:p>
        </w:tc>
      </w:tr>
      <w:tr w:rsidR="009C27AB" w:rsidRPr="00097D93" w14:paraId="06AFD99B" w14:textId="77777777" w:rsidTr="000C3623">
        <w:tc>
          <w:tcPr>
            <w:tcW w:w="2093" w:type="dxa"/>
            <w:shd w:val="clear" w:color="auto" w:fill="D9D9D9" w:themeFill="background1" w:themeFillShade="D9"/>
          </w:tcPr>
          <w:p w14:paraId="7FA3816D" w14:textId="77777777" w:rsidR="009C27AB" w:rsidRDefault="009C27AB" w:rsidP="00C26119">
            <w:pPr>
              <w:rPr>
                <w:sz w:val="24"/>
                <w:szCs w:val="24"/>
              </w:rPr>
            </w:pPr>
            <w:r>
              <w:rPr>
                <w:sz w:val="24"/>
                <w:szCs w:val="24"/>
              </w:rPr>
              <w:t>Other Contributors</w:t>
            </w:r>
          </w:p>
        </w:tc>
        <w:tc>
          <w:tcPr>
            <w:tcW w:w="8505" w:type="dxa"/>
            <w:gridSpan w:val="4"/>
          </w:tcPr>
          <w:p w14:paraId="3EA929F5" w14:textId="77777777" w:rsidR="009C27AB" w:rsidRDefault="00200E6B" w:rsidP="00C26119">
            <w:pPr>
              <w:rPr>
                <w:i/>
              </w:rPr>
            </w:pPr>
            <w:r>
              <w:rPr>
                <w:i/>
              </w:rPr>
              <w:t xml:space="preserve">Dave Berry, Iain </w:t>
            </w:r>
            <w:proofErr w:type="spellStart"/>
            <w:r>
              <w:rPr>
                <w:i/>
              </w:rPr>
              <w:t>Fiddes</w:t>
            </w:r>
            <w:proofErr w:type="spellEnd"/>
            <w:r>
              <w:rPr>
                <w:i/>
              </w:rPr>
              <w:t xml:space="preserve">, Peter Jackson, Richard Good, Heather </w:t>
            </w:r>
            <w:proofErr w:type="spellStart"/>
            <w:r>
              <w:rPr>
                <w:i/>
              </w:rPr>
              <w:t>Larnach</w:t>
            </w:r>
            <w:proofErr w:type="spellEnd"/>
            <w:r>
              <w:rPr>
                <w:i/>
              </w:rPr>
              <w:t xml:space="preserve">, Stefan </w:t>
            </w:r>
            <w:proofErr w:type="spellStart"/>
            <w:r>
              <w:rPr>
                <w:i/>
              </w:rPr>
              <w:t>Kaempf</w:t>
            </w:r>
            <w:proofErr w:type="spellEnd"/>
            <w:r>
              <w:rPr>
                <w:i/>
              </w:rPr>
              <w:t xml:space="preserve">, Maurice </w:t>
            </w:r>
            <w:proofErr w:type="spellStart"/>
            <w:r>
              <w:rPr>
                <w:i/>
              </w:rPr>
              <w:t>Franceschi</w:t>
            </w:r>
            <w:proofErr w:type="spellEnd"/>
            <w:r>
              <w:rPr>
                <w:i/>
              </w:rPr>
              <w:t xml:space="preserve">, Adam </w:t>
            </w:r>
            <w:proofErr w:type="spellStart"/>
            <w:r>
              <w:rPr>
                <w:i/>
              </w:rPr>
              <w:t>Wadee</w:t>
            </w:r>
            <w:proofErr w:type="spellEnd"/>
          </w:p>
          <w:p w14:paraId="7ABB837A" w14:textId="77777777" w:rsidR="000C3623" w:rsidRPr="008B5CEE" w:rsidRDefault="000C3623" w:rsidP="00C26119">
            <w:pPr>
              <w:rPr>
                <w:i/>
              </w:rPr>
            </w:pPr>
          </w:p>
        </w:tc>
      </w:tr>
      <w:tr w:rsidR="009F3B26" w:rsidRPr="00097D93" w14:paraId="722A7DAB" w14:textId="77777777" w:rsidTr="000C3623">
        <w:trPr>
          <w:trHeight w:val="988"/>
        </w:trPr>
        <w:tc>
          <w:tcPr>
            <w:tcW w:w="2093" w:type="dxa"/>
            <w:shd w:val="clear" w:color="auto" w:fill="D9D9D9" w:themeFill="background1" w:themeFillShade="D9"/>
          </w:tcPr>
          <w:p w14:paraId="233BD392" w14:textId="77777777" w:rsidR="009F3B26" w:rsidRDefault="0097066C" w:rsidP="00C26119">
            <w:pPr>
              <w:rPr>
                <w:sz w:val="24"/>
                <w:szCs w:val="24"/>
              </w:rPr>
            </w:pPr>
            <w:r>
              <w:rPr>
                <w:sz w:val="24"/>
                <w:szCs w:val="24"/>
              </w:rPr>
              <w:t>What it is</w:t>
            </w:r>
          </w:p>
        </w:tc>
        <w:tc>
          <w:tcPr>
            <w:tcW w:w="8505" w:type="dxa"/>
            <w:gridSpan w:val="4"/>
          </w:tcPr>
          <w:p w14:paraId="3733E7F1" w14:textId="3BCED70D"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sidRPr="00801414">
              <w:rPr>
                <w:rFonts w:asciiTheme="minorHAnsi" w:hAnsiTheme="minorHAnsi"/>
                <w:bCs/>
                <w:sz w:val="22"/>
                <w:szCs w:val="22"/>
              </w:rPr>
              <w:t>The Division has built up reliance on a number of key products over the years to assist in project and service delivery.</w:t>
            </w:r>
            <w:bookmarkStart w:id="0" w:name="_GoBack"/>
            <w:bookmarkEnd w:id="0"/>
          </w:p>
          <w:p w14:paraId="42F7A6B5" w14:textId="0FBA684C"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sidRPr="00801414">
              <w:rPr>
                <w:rFonts w:asciiTheme="minorHAnsi" w:hAnsiTheme="minorHAnsi"/>
                <w:bCs/>
                <w:sz w:val="22"/>
                <w:szCs w:val="22"/>
              </w:rPr>
              <w:t>This project would apply relevant up</w:t>
            </w:r>
            <w:r w:rsidR="0070792C">
              <w:rPr>
                <w:rFonts w:asciiTheme="minorHAnsi" w:hAnsiTheme="minorHAnsi"/>
                <w:bCs/>
                <w:sz w:val="22"/>
                <w:szCs w:val="22"/>
              </w:rPr>
              <w:t>grades to the following products as required</w:t>
            </w:r>
            <w:r w:rsidRPr="00801414">
              <w:rPr>
                <w:rFonts w:asciiTheme="minorHAnsi" w:hAnsiTheme="minorHAnsi"/>
                <w:bCs/>
                <w:sz w:val="22"/>
                <w:szCs w:val="22"/>
              </w:rPr>
              <w:t>:</w:t>
            </w:r>
          </w:p>
          <w:p w14:paraId="31C3444C" w14:textId="77777777"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sidRPr="00801414">
              <w:rPr>
                <w:rFonts w:asciiTheme="minorHAnsi" w:hAnsiTheme="minorHAnsi"/>
                <w:bCs/>
                <w:sz w:val="22"/>
                <w:szCs w:val="22"/>
              </w:rPr>
              <w:t>JIRA</w:t>
            </w:r>
          </w:p>
          <w:p w14:paraId="2B1FE995" w14:textId="5FE9F797"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Pr>
                <w:rFonts w:asciiTheme="minorHAnsi" w:hAnsiTheme="minorHAnsi"/>
                <w:bCs/>
                <w:sz w:val="22"/>
                <w:szCs w:val="22"/>
              </w:rPr>
              <w:t>JIRA Agile</w:t>
            </w:r>
          </w:p>
          <w:p w14:paraId="0250C808" w14:textId="77777777"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sidRPr="00801414">
              <w:rPr>
                <w:rFonts w:asciiTheme="minorHAnsi" w:hAnsiTheme="minorHAnsi"/>
                <w:bCs/>
                <w:sz w:val="22"/>
                <w:szCs w:val="22"/>
              </w:rPr>
              <w:t>Bamboo</w:t>
            </w:r>
          </w:p>
          <w:p w14:paraId="701698A5" w14:textId="0EA7BA2B" w:rsidR="00801414"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Pr>
                <w:rFonts w:asciiTheme="minorHAnsi" w:hAnsiTheme="minorHAnsi"/>
                <w:bCs/>
                <w:sz w:val="22"/>
                <w:szCs w:val="22"/>
              </w:rPr>
              <w:t>ASTA</w:t>
            </w:r>
          </w:p>
          <w:p w14:paraId="3B818079" w14:textId="21CCD004" w:rsidR="009F3B26" w:rsidRPr="00801414" w:rsidRDefault="00801414" w:rsidP="00801414">
            <w:pPr>
              <w:pStyle w:val="NormalWeb"/>
              <w:shd w:val="clear" w:color="auto" w:fill="FFFFFF"/>
              <w:spacing w:before="96" w:beforeAutospacing="0" w:after="192" w:afterAutospacing="0" w:line="248" w:lineRule="atLeast"/>
              <w:rPr>
                <w:rFonts w:asciiTheme="minorHAnsi" w:hAnsiTheme="minorHAnsi"/>
                <w:bCs/>
                <w:sz w:val="22"/>
                <w:szCs w:val="22"/>
              </w:rPr>
            </w:pPr>
            <w:r w:rsidRPr="00801414">
              <w:rPr>
                <w:rFonts w:asciiTheme="minorHAnsi" w:hAnsiTheme="minorHAnsi"/>
                <w:bCs/>
                <w:sz w:val="22"/>
                <w:szCs w:val="22"/>
              </w:rPr>
              <w:t>We will look to upgrade to latest stable and supported versions of the products above. This will not review new functionality and only c</w:t>
            </w:r>
            <w:r>
              <w:rPr>
                <w:rFonts w:asciiTheme="minorHAnsi" w:hAnsiTheme="minorHAnsi"/>
                <w:bCs/>
                <w:sz w:val="22"/>
                <w:szCs w:val="22"/>
              </w:rPr>
              <w:t>oncentrate on software upgrades.</w:t>
            </w:r>
          </w:p>
        </w:tc>
      </w:tr>
      <w:tr w:rsidR="0097066C" w:rsidRPr="00097D93" w14:paraId="4E447CEA" w14:textId="77777777" w:rsidTr="000C3623">
        <w:tc>
          <w:tcPr>
            <w:tcW w:w="2093" w:type="dxa"/>
            <w:shd w:val="clear" w:color="auto" w:fill="D9D9D9" w:themeFill="background1" w:themeFillShade="D9"/>
          </w:tcPr>
          <w:p w14:paraId="6323EF8C" w14:textId="77777777" w:rsidR="005D0AFD" w:rsidRDefault="0097066C" w:rsidP="0097066C">
            <w:pPr>
              <w:rPr>
                <w:sz w:val="24"/>
                <w:szCs w:val="24"/>
              </w:rPr>
            </w:pPr>
            <w:r>
              <w:rPr>
                <w:sz w:val="24"/>
                <w:szCs w:val="24"/>
              </w:rPr>
              <w:t>Why it is needed</w:t>
            </w:r>
            <w:r w:rsidR="001B4393">
              <w:rPr>
                <w:sz w:val="24"/>
                <w:szCs w:val="24"/>
              </w:rPr>
              <w:t xml:space="preserve"> / what the benefits are</w:t>
            </w:r>
            <w:r>
              <w:rPr>
                <w:sz w:val="24"/>
                <w:szCs w:val="24"/>
              </w:rPr>
              <w:br/>
            </w:r>
          </w:p>
        </w:tc>
        <w:tc>
          <w:tcPr>
            <w:tcW w:w="8505" w:type="dxa"/>
            <w:gridSpan w:val="4"/>
          </w:tcPr>
          <w:p w14:paraId="3CB386BB" w14:textId="18A8B32A" w:rsidR="00BE3EFE" w:rsidRPr="00044CE5" w:rsidRDefault="00510358" w:rsidP="00DA1186">
            <w:pPr>
              <w:rPr>
                <w:i/>
              </w:rPr>
            </w:pPr>
            <w:r>
              <w:rPr>
                <w:i/>
              </w:rPr>
              <w:t xml:space="preserve">We have taken on the above products as part of our core workflow for project (and support) delivery in recent times. As such they are essential to our ability to successfully deliver change within the University. Failure to keep the products up to date and in a supportable position exposes us to the risk of serious issues with the software that may affect their ability to run and operate in our environment. It also </w:t>
            </w:r>
            <w:proofErr w:type="gramStart"/>
            <w:r>
              <w:rPr>
                <w:i/>
              </w:rPr>
              <w:t>avoid</w:t>
            </w:r>
            <w:proofErr w:type="gramEnd"/>
            <w:r>
              <w:rPr>
                <w:i/>
              </w:rPr>
              <w:t xml:space="preserve"> costly “big bang” upgrades we have experienced in the past when we have had to put significant resources towards upgrading products.</w:t>
            </w:r>
          </w:p>
        </w:tc>
      </w:tr>
      <w:tr w:rsidR="00DE0845" w:rsidRPr="00097D93" w14:paraId="2BA3CF5D" w14:textId="77777777" w:rsidTr="000C3623">
        <w:tc>
          <w:tcPr>
            <w:tcW w:w="2093" w:type="dxa"/>
            <w:shd w:val="clear" w:color="auto" w:fill="D9D9D9" w:themeFill="background1" w:themeFillShade="D9"/>
          </w:tcPr>
          <w:p w14:paraId="3478F3B3" w14:textId="77777777" w:rsidR="00DE0845" w:rsidRDefault="00DE0845" w:rsidP="0097066C">
            <w:pPr>
              <w:rPr>
                <w:sz w:val="24"/>
                <w:szCs w:val="24"/>
              </w:rPr>
            </w:pPr>
            <w:r>
              <w:rPr>
                <w:sz w:val="24"/>
                <w:szCs w:val="24"/>
              </w:rPr>
              <w:t>When is it needed</w:t>
            </w:r>
          </w:p>
        </w:tc>
        <w:tc>
          <w:tcPr>
            <w:tcW w:w="8505" w:type="dxa"/>
            <w:gridSpan w:val="4"/>
          </w:tcPr>
          <w:p w14:paraId="1F29F9F0" w14:textId="5A8CAB53" w:rsidR="00DE0845" w:rsidRDefault="0070792C" w:rsidP="00C26119">
            <w:pPr>
              <w:rPr>
                <w:i/>
              </w:rPr>
            </w:pPr>
            <w:r>
              <w:rPr>
                <w:i/>
              </w:rPr>
              <w:t>2014/15</w:t>
            </w:r>
          </w:p>
          <w:p w14:paraId="286632D9" w14:textId="61956BE9" w:rsidR="00DE0845" w:rsidRDefault="00DE0845" w:rsidP="00C26119">
            <w:pPr>
              <w:rPr>
                <w:i/>
              </w:rPr>
            </w:pPr>
            <w:r>
              <w:rPr>
                <w:i/>
              </w:rPr>
              <w:t xml:space="preserve">Duration (No. of Years): </w:t>
            </w:r>
            <w:r w:rsidR="0070792C">
              <w:rPr>
                <w:i/>
              </w:rPr>
              <w:t>1 (however annual project would be submitted to handle this work on an ongoing basis)</w:t>
            </w:r>
          </w:p>
          <w:p w14:paraId="73B96D52" w14:textId="77777777" w:rsidR="00DE0845" w:rsidRPr="00044CE5" w:rsidRDefault="00DE0845" w:rsidP="00C26119">
            <w:pPr>
              <w:rPr>
                <w:i/>
              </w:rPr>
            </w:pPr>
          </w:p>
        </w:tc>
      </w:tr>
      <w:tr w:rsidR="002045FB" w:rsidRPr="00097D93" w14:paraId="53640009" w14:textId="77777777" w:rsidTr="004E5ABA">
        <w:tc>
          <w:tcPr>
            <w:tcW w:w="2093" w:type="dxa"/>
            <w:shd w:val="clear" w:color="auto" w:fill="D9D9D9" w:themeFill="background1" w:themeFillShade="D9"/>
          </w:tcPr>
          <w:p w14:paraId="4656DDE7" w14:textId="77777777" w:rsidR="002045FB" w:rsidRDefault="002045FB" w:rsidP="004E5ABA">
            <w:pPr>
              <w:rPr>
                <w:sz w:val="24"/>
                <w:szCs w:val="24"/>
              </w:rPr>
            </w:pPr>
            <w:r w:rsidRPr="00BB165D">
              <w:rPr>
                <w:sz w:val="24"/>
                <w:szCs w:val="24"/>
              </w:rPr>
              <w:t>Type of work</w:t>
            </w:r>
            <w:r>
              <w:rPr>
                <w:sz w:val="24"/>
                <w:szCs w:val="24"/>
              </w:rPr>
              <w:t xml:space="preserve"> </w:t>
            </w:r>
          </w:p>
        </w:tc>
        <w:tc>
          <w:tcPr>
            <w:tcW w:w="2977" w:type="dxa"/>
          </w:tcPr>
          <w:p w14:paraId="0D8BCCD3" w14:textId="504F8F3D" w:rsidR="002045FB" w:rsidRPr="008B5CEE" w:rsidRDefault="002045FB" w:rsidP="004E5ABA">
            <w:pPr>
              <w:rPr>
                <w:i/>
              </w:rPr>
            </w:pPr>
            <w:r w:rsidRPr="00BB165D">
              <w:rPr>
                <w:i/>
              </w:rPr>
              <w:t>Compliance</w:t>
            </w:r>
          </w:p>
        </w:tc>
        <w:tc>
          <w:tcPr>
            <w:tcW w:w="1842" w:type="dxa"/>
            <w:shd w:val="clear" w:color="auto" w:fill="D9D9D9" w:themeFill="background1" w:themeFillShade="D9"/>
          </w:tcPr>
          <w:p w14:paraId="473D6F54" w14:textId="77777777" w:rsidR="002045FB" w:rsidRPr="005D0AFD" w:rsidRDefault="002045FB" w:rsidP="004E5ABA">
            <w:pPr>
              <w:rPr>
                <w:sz w:val="24"/>
                <w:szCs w:val="24"/>
              </w:rPr>
            </w:pPr>
            <w:r>
              <w:rPr>
                <w:sz w:val="24"/>
                <w:szCs w:val="24"/>
              </w:rPr>
              <w:t>Funding Source</w:t>
            </w:r>
          </w:p>
        </w:tc>
        <w:tc>
          <w:tcPr>
            <w:tcW w:w="3686" w:type="dxa"/>
            <w:gridSpan w:val="2"/>
          </w:tcPr>
          <w:p w14:paraId="1AE4B798" w14:textId="6A18F077" w:rsidR="002045FB" w:rsidRPr="008B5CEE" w:rsidRDefault="0070792C" w:rsidP="004E5ABA">
            <w:pPr>
              <w:rPr>
                <w:i/>
              </w:rPr>
            </w:pPr>
            <w:r>
              <w:rPr>
                <w:i/>
              </w:rPr>
              <w:t>Core Grant</w:t>
            </w:r>
          </w:p>
        </w:tc>
      </w:tr>
      <w:tr w:rsidR="002045FB" w:rsidRPr="00097D93" w14:paraId="1D940A7F" w14:textId="77777777" w:rsidTr="002045FB">
        <w:tc>
          <w:tcPr>
            <w:tcW w:w="2093" w:type="dxa"/>
            <w:shd w:val="clear" w:color="auto" w:fill="D9D9D9" w:themeFill="background1" w:themeFillShade="D9"/>
          </w:tcPr>
          <w:p w14:paraId="3E622D7D" w14:textId="77777777" w:rsidR="002045FB" w:rsidRDefault="002045FB" w:rsidP="004E5ABA">
            <w:pPr>
              <w:rPr>
                <w:sz w:val="24"/>
                <w:szCs w:val="24"/>
              </w:rPr>
            </w:pPr>
            <w:r>
              <w:rPr>
                <w:sz w:val="24"/>
                <w:szCs w:val="24"/>
              </w:rPr>
              <w:t xml:space="preserve">*Compliance Justification </w:t>
            </w:r>
          </w:p>
        </w:tc>
        <w:tc>
          <w:tcPr>
            <w:tcW w:w="2977" w:type="dxa"/>
          </w:tcPr>
          <w:p w14:paraId="5777F48B" w14:textId="769E4587" w:rsidR="002045FB" w:rsidRDefault="0070792C" w:rsidP="004E5ABA">
            <w:pPr>
              <w:rPr>
                <w:i/>
              </w:rPr>
            </w:pPr>
            <w:r>
              <w:rPr>
                <w:i/>
              </w:rPr>
              <w:t>To ensure supported and performance systems that allow the Division to function, key tools as detailed above need to be kept up to date.</w:t>
            </w:r>
          </w:p>
          <w:p w14:paraId="2FED540F" w14:textId="77777777" w:rsidR="00BE3EFE" w:rsidRDefault="00BE3EFE" w:rsidP="004E5ABA">
            <w:pPr>
              <w:rPr>
                <w:i/>
              </w:rPr>
            </w:pPr>
          </w:p>
          <w:p w14:paraId="522C5978" w14:textId="77777777" w:rsidR="00BE3EFE" w:rsidRDefault="00BE3EFE" w:rsidP="004E5ABA">
            <w:pPr>
              <w:rPr>
                <w:i/>
              </w:rPr>
            </w:pPr>
          </w:p>
          <w:p w14:paraId="0A713633" w14:textId="77777777" w:rsidR="00BE3EFE" w:rsidRDefault="00BE3EFE" w:rsidP="004E5ABA">
            <w:pPr>
              <w:rPr>
                <w:i/>
              </w:rPr>
            </w:pPr>
          </w:p>
          <w:p w14:paraId="343901B1" w14:textId="77777777" w:rsidR="00BE3EFE" w:rsidRDefault="00BE3EFE" w:rsidP="004E5ABA">
            <w:pPr>
              <w:rPr>
                <w:i/>
              </w:rPr>
            </w:pPr>
          </w:p>
          <w:p w14:paraId="26D3F79B" w14:textId="77777777" w:rsidR="00BE3EFE" w:rsidRDefault="00BE3EFE" w:rsidP="004E5ABA">
            <w:pPr>
              <w:rPr>
                <w:i/>
              </w:rPr>
            </w:pPr>
          </w:p>
          <w:p w14:paraId="2CCEB141" w14:textId="77777777" w:rsidR="00BE3EFE" w:rsidRPr="008B5CEE" w:rsidRDefault="00BE3EFE" w:rsidP="004E5ABA">
            <w:pPr>
              <w:rPr>
                <w:i/>
              </w:rPr>
            </w:pPr>
          </w:p>
        </w:tc>
        <w:tc>
          <w:tcPr>
            <w:tcW w:w="1842" w:type="dxa"/>
          </w:tcPr>
          <w:p w14:paraId="1072CA15" w14:textId="77777777" w:rsidR="002045FB" w:rsidRDefault="002045FB" w:rsidP="002045FB">
            <w:pPr>
              <w:rPr>
                <w:sz w:val="24"/>
                <w:szCs w:val="24"/>
              </w:rPr>
            </w:pPr>
            <w:r>
              <w:rPr>
                <w:sz w:val="24"/>
                <w:szCs w:val="24"/>
              </w:rPr>
              <w:t>Proposal Type</w:t>
            </w:r>
          </w:p>
          <w:p w14:paraId="1EBF3556" w14:textId="77777777" w:rsidR="002045FB" w:rsidRPr="008B5CEE" w:rsidRDefault="002045FB" w:rsidP="004E5ABA">
            <w:pPr>
              <w:rPr>
                <w:i/>
              </w:rPr>
            </w:pPr>
          </w:p>
        </w:tc>
        <w:tc>
          <w:tcPr>
            <w:tcW w:w="3686" w:type="dxa"/>
            <w:gridSpan w:val="2"/>
          </w:tcPr>
          <w:p w14:paraId="286DF671" w14:textId="4CD7EF13" w:rsidR="002045FB" w:rsidRPr="008B5CEE" w:rsidRDefault="0070792C" w:rsidP="004E5ABA">
            <w:pPr>
              <w:rPr>
                <w:i/>
              </w:rPr>
            </w:pPr>
            <w:r>
              <w:rPr>
                <w:i/>
              </w:rPr>
              <w:t>New</w:t>
            </w:r>
          </w:p>
        </w:tc>
      </w:tr>
    </w:tbl>
    <w:p w14:paraId="53635B83" w14:textId="77777777" w:rsidR="002045FB" w:rsidRDefault="002045FB"/>
    <w:p w14:paraId="25BAA554" w14:textId="77777777" w:rsidR="00BE3EFE" w:rsidRDefault="00BE3EFE">
      <w:pPr>
        <w:rPr>
          <w:rFonts w:asciiTheme="majorHAnsi" w:eastAsiaTheme="majorEastAsia" w:hAnsiTheme="majorHAnsi" w:cstheme="majorBidi"/>
          <w:b/>
          <w:bCs/>
          <w:color w:val="4F81BD" w:themeColor="accent1"/>
          <w:sz w:val="26"/>
          <w:szCs w:val="26"/>
        </w:rPr>
      </w:pPr>
      <w:r>
        <w:br w:type="page"/>
      </w:r>
    </w:p>
    <w:p w14:paraId="04656135" w14:textId="77777777" w:rsidR="002045FB" w:rsidRPr="009F3B26" w:rsidRDefault="002045FB" w:rsidP="002045FB">
      <w:pPr>
        <w:pStyle w:val="Heading2"/>
      </w:pPr>
      <w:r>
        <w:lastRenderedPageBreak/>
        <w:t>Estimation</w:t>
      </w:r>
    </w:p>
    <w:tbl>
      <w:tblPr>
        <w:tblStyle w:val="TableGrid"/>
        <w:tblW w:w="0" w:type="auto"/>
        <w:tblLook w:val="04A0" w:firstRow="1" w:lastRow="0" w:firstColumn="1" w:lastColumn="0" w:noHBand="0" w:noVBand="1"/>
      </w:tblPr>
      <w:tblGrid>
        <w:gridCol w:w="1935"/>
        <w:gridCol w:w="1059"/>
        <w:gridCol w:w="3388"/>
        <w:gridCol w:w="4300"/>
      </w:tblGrid>
      <w:tr w:rsidR="002045FB" w:rsidRPr="00097D93" w14:paraId="1AF0F9D3" w14:textId="77777777" w:rsidTr="00BE3EFE">
        <w:trPr>
          <w:trHeight w:val="597"/>
        </w:trPr>
        <w:tc>
          <w:tcPr>
            <w:tcW w:w="1935" w:type="dxa"/>
            <w:vMerge w:val="restart"/>
            <w:shd w:val="clear" w:color="auto" w:fill="D9D9D9" w:themeFill="background1" w:themeFillShade="D9"/>
          </w:tcPr>
          <w:p w14:paraId="404EF1FD" w14:textId="77777777" w:rsidR="002045FB" w:rsidRPr="005D0AFD" w:rsidRDefault="002045FB" w:rsidP="00C26119">
            <w:pPr>
              <w:rPr>
                <w:sz w:val="24"/>
                <w:szCs w:val="24"/>
              </w:rPr>
            </w:pPr>
            <w:r w:rsidRPr="005D0AFD">
              <w:rPr>
                <w:sz w:val="24"/>
                <w:szCs w:val="24"/>
              </w:rPr>
              <w:t xml:space="preserve">Estimation Type </w:t>
            </w:r>
          </w:p>
          <w:p w14:paraId="2FA6588B" w14:textId="77777777" w:rsidR="002045FB" w:rsidRPr="005D0AFD" w:rsidRDefault="002045FB" w:rsidP="00044CE5">
            <w:pPr>
              <w:rPr>
                <w:i/>
                <w:sz w:val="24"/>
                <w:szCs w:val="24"/>
              </w:rPr>
            </w:pPr>
          </w:p>
          <w:p w14:paraId="1B9F99F9" w14:textId="77777777" w:rsidR="002045FB" w:rsidRPr="005D0AFD" w:rsidRDefault="002045FB" w:rsidP="00044CE5">
            <w:pPr>
              <w:rPr>
                <w:sz w:val="24"/>
                <w:szCs w:val="24"/>
              </w:rPr>
            </w:pPr>
          </w:p>
        </w:tc>
        <w:tc>
          <w:tcPr>
            <w:tcW w:w="4447" w:type="dxa"/>
            <w:gridSpan w:val="2"/>
          </w:tcPr>
          <w:p w14:paraId="54E2B840" w14:textId="77777777" w:rsidR="002045FB" w:rsidRDefault="002045FB" w:rsidP="00044CE5">
            <w:pPr>
              <w:rPr>
                <w:i/>
              </w:rPr>
            </w:pPr>
            <w:r w:rsidRPr="00044CE5">
              <w:rPr>
                <w:i/>
              </w:rPr>
              <w:t xml:space="preserve">Software </w:t>
            </w:r>
            <w:r>
              <w:rPr>
                <w:i/>
              </w:rPr>
              <w:t>Development</w:t>
            </w:r>
          </w:p>
        </w:tc>
        <w:tc>
          <w:tcPr>
            <w:tcW w:w="4300" w:type="dxa"/>
          </w:tcPr>
          <w:p w14:paraId="18C36471" w14:textId="77777777" w:rsidR="002045FB" w:rsidRPr="008B5CEE" w:rsidRDefault="002045FB" w:rsidP="00044CE5">
            <w:pPr>
              <w:rPr>
                <w:i/>
              </w:rPr>
            </w:pPr>
          </w:p>
        </w:tc>
      </w:tr>
      <w:tr w:rsidR="002045FB" w:rsidRPr="00097D93" w14:paraId="7242E825" w14:textId="77777777" w:rsidTr="00BE3EFE">
        <w:trPr>
          <w:trHeight w:val="597"/>
        </w:trPr>
        <w:tc>
          <w:tcPr>
            <w:tcW w:w="1935" w:type="dxa"/>
            <w:vMerge/>
            <w:shd w:val="clear" w:color="auto" w:fill="D9D9D9" w:themeFill="background1" w:themeFillShade="D9"/>
          </w:tcPr>
          <w:p w14:paraId="29ACE507" w14:textId="77777777" w:rsidR="002045FB" w:rsidRPr="005D0AFD" w:rsidRDefault="002045FB" w:rsidP="00C26119">
            <w:pPr>
              <w:rPr>
                <w:sz w:val="24"/>
                <w:szCs w:val="24"/>
              </w:rPr>
            </w:pPr>
          </w:p>
        </w:tc>
        <w:tc>
          <w:tcPr>
            <w:tcW w:w="4447" w:type="dxa"/>
            <w:gridSpan w:val="2"/>
          </w:tcPr>
          <w:p w14:paraId="68DAFB0F" w14:textId="77777777" w:rsidR="002045FB" w:rsidRPr="00044CE5" w:rsidRDefault="002045FB" w:rsidP="00044CE5">
            <w:pPr>
              <w:rPr>
                <w:i/>
              </w:rPr>
            </w:pPr>
            <w:r>
              <w:rPr>
                <w:i/>
              </w:rPr>
              <w:t>Software Configuration e.g. SITS</w:t>
            </w:r>
          </w:p>
        </w:tc>
        <w:tc>
          <w:tcPr>
            <w:tcW w:w="4300" w:type="dxa"/>
          </w:tcPr>
          <w:p w14:paraId="33DE4D29" w14:textId="77777777" w:rsidR="002045FB" w:rsidRPr="008B5CEE" w:rsidRDefault="002045FB" w:rsidP="00044CE5">
            <w:pPr>
              <w:rPr>
                <w:i/>
              </w:rPr>
            </w:pPr>
          </w:p>
        </w:tc>
      </w:tr>
      <w:tr w:rsidR="002045FB" w:rsidRPr="00097D93" w14:paraId="4A0B0A36" w14:textId="77777777" w:rsidTr="00BE3EFE">
        <w:trPr>
          <w:trHeight w:val="597"/>
        </w:trPr>
        <w:tc>
          <w:tcPr>
            <w:tcW w:w="1935" w:type="dxa"/>
            <w:vMerge/>
            <w:shd w:val="clear" w:color="auto" w:fill="D9D9D9" w:themeFill="background1" w:themeFillShade="D9"/>
          </w:tcPr>
          <w:p w14:paraId="0BD0D3DF" w14:textId="77777777" w:rsidR="002045FB" w:rsidRDefault="002045FB" w:rsidP="00C26119">
            <w:pPr>
              <w:rPr>
                <w:sz w:val="24"/>
                <w:szCs w:val="24"/>
              </w:rPr>
            </w:pPr>
          </w:p>
        </w:tc>
        <w:tc>
          <w:tcPr>
            <w:tcW w:w="4447" w:type="dxa"/>
            <w:gridSpan w:val="2"/>
          </w:tcPr>
          <w:p w14:paraId="655CD260" w14:textId="77777777" w:rsidR="002045FB" w:rsidRPr="008B5CEE" w:rsidRDefault="002045FB" w:rsidP="00044CE5">
            <w:pPr>
              <w:rPr>
                <w:i/>
              </w:rPr>
            </w:pPr>
            <w:r w:rsidRPr="00044CE5">
              <w:rPr>
                <w:i/>
              </w:rPr>
              <w:t>Infrastructure Development</w:t>
            </w:r>
          </w:p>
        </w:tc>
        <w:tc>
          <w:tcPr>
            <w:tcW w:w="4300" w:type="dxa"/>
          </w:tcPr>
          <w:p w14:paraId="34FF87D7" w14:textId="77777777" w:rsidR="002045FB" w:rsidRPr="008B5CEE" w:rsidRDefault="002045FB" w:rsidP="00044CE5">
            <w:pPr>
              <w:rPr>
                <w:i/>
              </w:rPr>
            </w:pPr>
          </w:p>
        </w:tc>
      </w:tr>
      <w:tr w:rsidR="002045FB" w:rsidRPr="00097D93" w14:paraId="5A39FC05" w14:textId="77777777" w:rsidTr="00BE3EFE">
        <w:trPr>
          <w:trHeight w:val="597"/>
        </w:trPr>
        <w:tc>
          <w:tcPr>
            <w:tcW w:w="1935" w:type="dxa"/>
            <w:vMerge/>
            <w:shd w:val="clear" w:color="auto" w:fill="D9D9D9" w:themeFill="background1" w:themeFillShade="D9"/>
          </w:tcPr>
          <w:p w14:paraId="2493A1EB" w14:textId="77777777" w:rsidR="002045FB" w:rsidRDefault="002045FB" w:rsidP="00C26119">
            <w:pPr>
              <w:rPr>
                <w:sz w:val="24"/>
                <w:szCs w:val="24"/>
              </w:rPr>
            </w:pPr>
          </w:p>
        </w:tc>
        <w:tc>
          <w:tcPr>
            <w:tcW w:w="4447" w:type="dxa"/>
            <w:gridSpan w:val="2"/>
          </w:tcPr>
          <w:p w14:paraId="4EB78837" w14:textId="77777777" w:rsidR="002045FB" w:rsidRPr="008B5CEE" w:rsidRDefault="002045FB" w:rsidP="00044CE5">
            <w:pPr>
              <w:rPr>
                <w:i/>
              </w:rPr>
            </w:pPr>
            <w:r w:rsidRPr="00044CE5">
              <w:rPr>
                <w:i/>
              </w:rPr>
              <w:t>Business Case</w:t>
            </w:r>
            <w:r>
              <w:rPr>
                <w:i/>
              </w:rPr>
              <w:t xml:space="preserve"> / Options Appraisal </w:t>
            </w:r>
          </w:p>
        </w:tc>
        <w:tc>
          <w:tcPr>
            <w:tcW w:w="4300" w:type="dxa"/>
          </w:tcPr>
          <w:p w14:paraId="71F189A2" w14:textId="77777777" w:rsidR="002045FB" w:rsidRPr="008B5CEE" w:rsidRDefault="002045FB" w:rsidP="00044CE5">
            <w:pPr>
              <w:rPr>
                <w:i/>
              </w:rPr>
            </w:pPr>
          </w:p>
        </w:tc>
      </w:tr>
      <w:tr w:rsidR="002045FB" w:rsidRPr="00097D93" w14:paraId="762A0F5D" w14:textId="77777777" w:rsidTr="00BE3EFE">
        <w:trPr>
          <w:trHeight w:val="597"/>
        </w:trPr>
        <w:tc>
          <w:tcPr>
            <w:tcW w:w="1935" w:type="dxa"/>
            <w:vMerge/>
            <w:shd w:val="clear" w:color="auto" w:fill="D9D9D9" w:themeFill="background1" w:themeFillShade="D9"/>
          </w:tcPr>
          <w:p w14:paraId="7D862281" w14:textId="77777777" w:rsidR="002045FB" w:rsidRDefault="002045FB" w:rsidP="00C26119">
            <w:pPr>
              <w:rPr>
                <w:sz w:val="24"/>
                <w:szCs w:val="24"/>
              </w:rPr>
            </w:pPr>
          </w:p>
        </w:tc>
        <w:tc>
          <w:tcPr>
            <w:tcW w:w="4447" w:type="dxa"/>
            <w:gridSpan w:val="2"/>
          </w:tcPr>
          <w:p w14:paraId="1DE6B523" w14:textId="77777777" w:rsidR="002045FB" w:rsidRPr="008B5CEE" w:rsidRDefault="002045FB" w:rsidP="00044CE5">
            <w:pPr>
              <w:rPr>
                <w:i/>
              </w:rPr>
            </w:pPr>
            <w:r w:rsidRPr="00044CE5">
              <w:rPr>
                <w:i/>
              </w:rPr>
              <w:t>Procurement</w:t>
            </w:r>
          </w:p>
        </w:tc>
        <w:tc>
          <w:tcPr>
            <w:tcW w:w="4300" w:type="dxa"/>
          </w:tcPr>
          <w:p w14:paraId="36BFC660" w14:textId="77777777" w:rsidR="002045FB" w:rsidRPr="008B5CEE" w:rsidRDefault="002045FB" w:rsidP="00044CE5">
            <w:pPr>
              <w:rPr>
                <w:i/>
              </w:rPr>
            </w:pPr>
          </w:p>
        </w:tc>
      </w:tr>
      <w:tr w:rsidR="002045FB" w:rsidRPr="00097D93" w14:paraId="6544274E" w14:textId="77777777" w:rsidTr="00BE3EFE">
        <w:trPr>
          <w:trHeight w:val="597"/>
        </w:trPr>
        <w:tc>
          <w:tcPr>
            <w:tcW w:w="1935" w:type="dxa"/>
            <w:vMerge/>
            <w:shd w:val="clear" w:color="auto" w:fill="D9D9D9" w:themeFill="background1" w:themeFillShade="D9"/>
          </w:tcPr>
          <w:p w14:paraId="469C4F5B" w14:textId="77777777" w:rsidR="002045FB" w:rsidRDefault="002045FB" w:rsidP="00C26119">
            <w:pPr>
              <w:rPr>
                <w:sz w:val="24"/>
                <w:szCs w:val="24"/>
              </w:rPr>
            </w:pPr>
          </w:p>
        </w:tc>
        <w:tc>
          <w:tcPr>
            <w:tcW w:w="4447" w:type="dxa"/>
            <w:gridSpan w:val="2"/>
          </w:tcPr>
          <w:p w14:paraId="759D378A" w14:textId="77777777" w:rsidR="002045FB" w:rsidRDefault="002045FB" w:rsidP="00044CE5">
            <w:pPr>
              <w:rPr>
                <w:i/>
              </w:rPr>
            </w:pPr>
            <w:r w:rsidRPr="00044CE5">
              <w:rPr>
                <w:i/>
              </w:rPr>
              <w:t>Impleme</w:t>
            </w:r>
            <w:r>
              <w:rPr>
                <w:i/>
              </w:rPr>
              <w:t>nt Package Solution</w:t>
            </w:r>
          </w:p>
        </w:tc>
        <w:tc>
          <w:tcPr>
            <w:tcW w:w="4300" w:type="dxa"/>
          </w:tcPr>
          <w:p w14:paraId="2B688F09" w14:textId="30DE3CF6" w:rsidR="002045FB" w:rsidRPr="008B5CEE" w:rsidRDefault="0070792C" w:rsidP="00044CE5">
            <w:pPr>
              <w:rPr>
                <w:i/>
              </w:rPr>
            </w:pPr>
            <w:r>
              <w:rPr>
                <w:i/>
              </w:rPr>
              <w:t>X</w:t>
            </w:r>
          </w:p>
        </w:tc>
      </w:tr>
      <w:tr w:rsidR="000D528D" w:rsidRPr="00097D93" w14:paraId="364E17DE" w14:textId="77777777" w:rsidTr="00BE3EFE">
        <w:tc>
          <w:tcPr>
            <w:tcW w:w="1935" w:type="dxa"/>
            <w:shd w:val="clear" w:color="auto" w:fill="D9D9D9" w:themeFill="background1" w:themeFillShade="D9"/>
          </w:tcPr>
          <w:p w14:paraId="02A4CFC7" w14:textId="77777777" w:rsidR="000D528D" w:rsidRPr="009F3B26" w:rsidRDefault="000D528D" w:rsidP="00C26119">
            <w:r>
              <w:t>Estimated IS Apps Days</w:t>
            </w:r>
            <w:r w:rsidR="00044CE5">
              <w:t xml:space="preserve"> </w:t>
            </w:r>
            <w:r w:rsidR="00044CE5">
              <w:br/>
              <w:t>(see additional guidance*)</w:t>
            </w:r>
          </w:p>
        </w:tc>
        <w:tc>
          <w:tcPr>
            <w:tcW w:w="1059" w:type="dxa"/>
          </w:tcPr>
          <w:p w14:paraId="40FE980F" w14:textId="77777777" w:rsidR="000D528D" w:rsidRDefault="006C5F92" w:rsidP="00C26119">
            <w:pPr>
              <w:rPr>
                <w:i/>
              </w:rPr>
            </w:pPr>
            <w:r>
              <w:rPr>
                <w:i/>
              </w:rPr>
              <w:t>S/M/L</w:t>
            </w:r>
            <w:r w:rsidR="002F0A4F">
              <w:rPr>
                <w:i/>
              </w:rPr>
              <w:t>/XL</w:t>
            </w:r>
          </w:p>
          <w:p w14:paraId="021C55CA" w14:textId="77777777" w:rsidR="0070792C" w:rsidRDefault="0070792C" w:rsidP="00C26119">
            <w:pPr>
              <w:rPr>
                <w:i/>
              </w:rPr>
            </w:pPr>
          </w:p>
          <w:p w14:paraId="07C3C31D" w14:textId="1413CDCC" w:rsidR="0070792C" w:rsidRDefault="0070792C" w:rsidP="00C26119">
            <w:pPr>
              <w:rPr>
                <w:i/>
              </w:rPr>
            </w:pPr>
            <w:r>
              <w:rPr>
                <w:i/>
              </w:rPr>
              <w:t>S</w:t>
            </w:r>
          </w:p>
        </w:tc>
        <w:tc>
          <w:tcPr>
            <w:tcW w:w="3388" w:type="dxa"/>
            <w:shd w:val="clear" w:color="auto" w:fill="D9D9D9" w:themeFill="background1" w:themeFillShade="D9"/>
          </w:tcPr>
          <w:p w14:paraId="7C20DD64" w14:textId="77777777" w:rsidR="000D528D" w:rsidRDefault="000D528D" w:rsidP="00C26119">
            <w:pPr>
              <w:rPr>
                <w:sz w:val="24"/>
                <w:szCs w:val="24"/>
              </w:rPr>
            </w:pPr>
            <w:r>
              <w:rPr>
                <w:sz w:val="24"/>
                <w:szCs w:val="24"/>
              </w:rPr>
              <w:t>Estimated Business Partner Days</w:t>
            </w:r>
          </w:p>
        </w:tc>
        <w:tc>
          <w:tcPr>
            <w:tcW w:w="4300" w:type="dxa"/>
          </w:tcPr>
          <w:p w14:paraId="56CAD36B" w14:textId="77777777" w:rsidR="000D528D" w:rsidRDefault="006C5F92" w:rsidP="00C26119">
            <w:pPr>
              <w:rPr>
                <w:i/>
              </w:rPr>
            </w:pPr>
            <w:r>
              <w:rPr>
                <w:i/>
              </w:rPr>
              <w:t>S/M/L</w:t>
            </w:r>
            <w:r w:rsidR="002F0A4F">
              <w:rPr>
                <w:i/>
              </w:rPr>
              <w:t>/XL</w:t>
            </w:r>
          </w:p>
          <w:p w14:paraId="3E1D8537" w14:textId="77777777" w:rsidR="0070792C" w:rsidRDefault="0070792C" w:rsidP="00C26119">
            <w:pPr>
              <w:rPr>
                <w:i/>
              </w:rPr>
            </w:pPr>
          </w:p>
          <w:p w14:paraId="13DA3C75" w14:textId="0D8C648D" w:rsidR="0070792C" w:rsidRDefault="0070792C" w:rsidP="00C26119">
            <w:pPr>
              <w:rPr>
                <w:i/>
              </w:rPr>
            </w:pPr>
            <w:r>
              <w:rPr>
                <w:i/>
              </w:rPr>
              <w:t>None</w:t>
            </w:r>
          </w:p>
        </w:tc>
      </w:tr>
      <w:tr w:rsidR="00DE0845" w:rsidRPr="00097D93" w14:paraId="0C76E125" w14:textId="77777777" w:rsidTr="00BE3EFE">
        <w:tc>
          <w:tcPr>
            <w:tcW w:w="1935" w:type="dxa"/>
            <w:shd w:val="clear" w:color="auto" w:fill="D9D9D9" w:themeFill="background1" w:themeFillShade="D9"/>
          </w:tcPr>
          <w:p w14:paraId="6CF65E70" w14:textId="77777777" w:rsidR="00DE0845" w:rsidRDefault="00C82AE0" w:rsidP="00C26119">
            <w:r w:rsidRPr="00C82AE0">
              <w:t>Estimated Service Management Days</w:t>
            </w:r>
          </w:p>
        </w:tc>
        <w:tc>
          <w:tcPr>
            <w:tcW w:w="1059" w:type="dxa"/>
          </w:tcPr>
          <w:p w14:paraId="1F501405" w14:textId="77777777" w:rsidR="00DE0845" w:rsidRDefault="00C82AE0" w:rsidP="00C26119">
            <w:pPr>
              <w:rPr>
                <w:i/>
              </w:rPr>
            </w:pPr>
            <w:r w:rsidRPr="00C82AE0">
              <w:rPr>
                <w:i/>
              </w:rPr>
              <w:t>S/M/L/XL</w:t>
            </w:r>
          </w:p>
          <w:p w14:paraId="5E1CB617" w14:textId="77777777" w:rsidR="0049792E" w:rsidRDefault="0049792E" w:rsidP="00C26119">
            <w:pPr>
              <w:rPr>
                <w:i/>
              </w:rPr>
            </w:pPr>
          </w:p>
          <w:p w14:paraId="4291D0C5" w14:textId="0E828BFE" w:rsidR="0049792E" w:rsidRDefault="0049792E" w:rsidP="00C26119">
            <w:pPr>
              <w:rPr>
                <w:i/>
              </w:rPr>
            </w:pPr>
            <w:r>
              <w:rPr>
                <w:i/>
              </w:rPr>
              <w:t>None</w:t>
            </w:r>
          </w:p>
        </w:tc>
        <w:tc>
          <w:tcPr>
            <w:tcW w:w="3388" w:type="dxa"/>
            <w:shd w:val="clear" w:color="auto" w:fill="D9D9D9" w:themeFill="background1" w:themeFillShade="D9"/>
          </w:tcPr>
          <w:p w14:paraId="6F02E690" w14:textId="77777777" w:rsidR="00DE0845" w:rsidRDefault="00C82AE0" w:rsidP="00C26119">
            <w:pPr>
              <w:rPr>
                <w:sz w:val="24"/>
                <w:szCs w:val="24"/>
              </w:rPr>
            </w:pPr>
            <w:r>
              <w:rPr>
                <w:sz w:val="24"/>
                <w:szCs w:val="24"/>
              </w:rPr>
              <w:t>Impact on other Service area</w:t>
            </w:r>
          </w:p>
        </w:tc>
        <w:tc>
          <w:tcPr>
            <w:tcW w:w="4300" w:type="dxa"/>
          </w:tcPr>
          <w:p w14:paraId="5D5409B6" w14:textId="63764FFD" w:rsidR="00C82AE0" w:rsidRDefault="0070792C" w:rsidP="00C26119">
            <w:pPr>
              <w:rPr>
                <w:i/>
              </w:rPr>
            </w:pPr>
            <w:proofErr w:type="gramStart"/>
            <w:r>
              <w:rPr>
                <w:i/>
              </w:rPr>
              <w:t>SSP ?</w:t>
            </w:r>
            <w:proofErr w:type="gramEnd"/>
            <w:r>
              <w:rPr>
                <w:i/>
              </w:rPr>
              <w:t xml:space="preserve"> Small impact</w:t>
            </w:r>
          </w:p>
          <w:p w14:paraId="7C057E6E" w14:textId="77777777" w:rsidR="00C82AE0" w:rsidRDefault="00C82AE0" w:rsidP="00C26119">
            <w:pPr>
              <w:rPr>
                <w:i/>
              </w:rPr>
            </w:pPr>
          </w:p>
          <w:p w14:paraId="79D030B4" w14:textId="77777777" w:rsidR="00DE0845" w:rsidRDefault="00DE0845" w:rsidP="00C26119">
            <w:pPr>
              <w:rPr>
                <w:i/>
              </w:rPr>
            </w:pPr>
            <w:r>
              <w:rPr>
                <w:i/>
              </w:rPr>
              <w:t>S/M/L/XL</w:t>
            </w:r>
          </w:p>
          <w:p w14:paraId="42E95536" w14:textId="77777777" w:rsidR="000C3623" w:rsidRDefault="000C3623" w:rsidP="00C26119">
            <w:pPr>
              <w:rPr>
                <w:i/>
              </w:rPr>
            </w:pPr>
          </w:p>
        </w:tc>
      </w:tr>
      <w:tr w:rsidR="00731723" w:rsidRPr="00097D93" w14:paraId="7A21F0EE" w14:textId="77777777" w:rsidTr="00BE3EFE">
        <w:tc>
          <w:tcPr>
            <w:tcW w:w="1935" w:type="dxa"/>
            <w:shd w:val="clear" w:color="auto" w:fill="D9D9D9" w:themeFill="background1" w:themeFillShade="D9"/>
          </w:tcPr>
          <w:p w14:paraId="47A80AD4" w14:textId="77777777" w:rsidR="00731723" w:rsidRDefault="00731723" w:rsidP="00C26119">
            <w:pPr>
              <w:rPr>
                <w:sz w:val="24"/>
                <w:szCs w:val="24"/>
              </w:rPr>
            </w:pPr>
            <w:r>
              <w:rPr>
                <w:sz w:val="24"/>
                <w:szCs w:val="24"/>
              </w:rPr>
              <w:t xml:space="preserve">Estimation Confidence </w:t>
            </w:r>
            <w:r w:rsidR="00792EF2">
              <w:rPr>
                <w:i/>
              </w:rPr>
              <w:t>(delete as required)</w:t>
            </w:r>
          </w:p>
        </w:tc>
        <w:tc>
          <w:tcPr>
            <w:tcW w:w="8747" w:type="dxa"/>
            <w:gridSpan w:val="3"/>
          </w:tcPr>
          <w:p w14:paraId="14B43E4F" w14:textId="77777777" w:rsidR="00731723" w:rsidRDefault="00731723" w:rsidP="00C26119">
            <w:pPr>
              <w:rPr>
                <w:i/>
              </w:rPr>
            </w:pPr>
            <w:r>
              <w:rPr>
                <w:i/>
              </w:rPr>
              <w:t>Highly Confident (Done this before)</w:t>
            </w:r>
          </w:p>
          <w:p w14:paraId="61C727A0" w14:textId="77777777" w:rsidR="00731723" w:rsidRPr="00572E22" w:rsidRDefault="00731723" w:rsidP="00C26119">
            <w:pPr>
              <w:rPr>
                <w:b/>
                <w:i/>
              </w:rPr>
            </w:pPr>
            <w:r w:rsidRPr="00572E22">
              <w:rPr>
                <w:b/>
                <w:i/>
              </w:rPr>
              <w:t>Reasonably Confident (Similar to previous work)</w:t>
            </w:r>
          </w:p>
          <w:p w14:paraId="3048178B" w14:textId="77777777" w:rsidR="00731723" w:rsidRDefault="00731723" w:rsidP="00C26119">
            <w:pPr>
              <w:rPr>
                <w:i/>
              </w:rPr>
            </w:pPr>
            <w:r>
              <w:rPr>
                <w:i/>
              </w:rPr>
              <w:t>Not Very Confident (A lot of uncertainties)</w:t>
            </w:r>
          </w:p>
          <w:p w14:paraId="58BBF0FB" w14:textId="77777777" w:rsidR="00731723" w:rsidRDefault="00731723" w:rsidP="00C26119">
            <w:pPr>
              <w:rPr>
                <w:i/>
              </w:rPr>
            </w:pPr>
            <w:r>
              <w:rPr>
                <w:i/>
              </w:rPr>
              <w:t>No Confidence</w:t>
            </w:r>
          </w:p>
          <w:p w14:paraId="3D18C3F2" w14:textId="77777777" w:rsidR="00731723" w:rsidRDefault="00731723" w:rsidP="00C26119">
            <w:pPr>
              <w:rPr>
                <w:i/>
              </w:rPr>
            </w:pPr>
          </w:p>
        </w:tc>
      </w:tr>
      <w:tr w:rsidR="009F3B26" w:rsidRPr="00097D93" w14:paraId="6B8BCE50" w14:textId="77777777" w:rsidTr="00BE3EFE">
        <w:tc>
          <w:tcPr>
            <w:tcW w:w="1935" w:type="dxa"/>
            <w:shd w:val="clear" w:color="auto" w:fill="D9D9D9" w:themeFill="background1" w:themeFillShade="D9"/>
          </w:tcPr>
          <w:p w14:paraId="0324C863" w14:textId="77777777" w:rsidR="009F3B26" w:rsidRDefault="000D528D" w:rsidP="00C26119">
            <w:pPr>
              <w:rPr>
                <w:sz w:val="24"/>
                <w:szCs w:val="24"/>
              </w:rPr>
            </w:pPr>
            <w:r>
              <w:rPr>
                <w:sz w:val="24"/>
                <w:szCs w:val="24"/>
              </w:rPr>
              <w:t>Estimation References</w:t>
            </w:r>
          </w:p>
        </w:tc>
        <w:tc>
          <w:tcPr>
            <w:tcW w:w="8747" w:type="dxa"/>
            <w:gridSpan w:val="3"/>
          </w:tcPr>
          <w:p w14:paraId="35281D10" w14:textId="77777777" w:rsidR="009F3B26" w:rsidRDefault="000D528D" w:rsidP="00C26119">
            <w:pPr>
              <w:rPr>
                <w:i/>
              </w:rPr>
            </w:pPr>
            <w:r>
              <w:rPr>
                <w:i/>
              </w:rPr>
              <w:t>Justification for the Estimat</w:t>
            </w:r>
            <w:r w:rsidR="00731723">
              <w:rPr>
                <w:i/>
              </w:rPr>
              <w:t xml:space="preserve">ed Days and Estimation Confidence. This section is </w:t>
            </w:r>
            <w:r w:rsidR="00B4303F">
              <w:rPr>
                <w:i/>
              </w:rPr>
              <w:t xml:space="preserve">also </w:t>
            </w:r>
            <w:r w:rsidR="00731723">
              <w:rPr>
                <w:i/>
              </w:rPr>
              <w:t xml:space="preserve">used to provide </w:t>
            </w:r>
            <w:r>
              <w:rPr>
                <w:i/>
              </w:rPr>
              <w:t xml:space="preserve">any other </w:t>
            </w:r>
            <w:r w:rsidR="00731723">
              <w:rPr>
                <w:i/>
              </w:rPr>
              <w:t xml:space="preserve">relevant </w:t>
            </w:r>
            <w:r>
              <w:rPr>
                <w:i/>
              </w:rPr>
              <w:t>information the</w:t>
            </w:r>
            <w:r w:rsidR="00731723">
              <w:rPr>
                <w:i/>
              </w:rPr>
              <w:t xml:space="preserve"> proposal</w:t>
            </w:r>
            <w:r w:rsidR="00144C94">
              <w:rPr>
                <w:i/>
              </w:rPr>
              <w:t xml:space="preserve"> </w:t>
            </w:r>
            <w:r>
              <w:rPr>
                <w:i/>
              </w:rPr>
              <w:t>estimate</w:t>
            </w:r>
            <w:r w:rsidR="00B4303F">
              <w:rPr>
                <w:i/>
              </w:rPr>
              <w:t>.</w:t>
            </w:r>
            <w:r>
              <w:rPr>
                <w:i/>
              </w:rPr>
              <w:t xml:space="preserve"> Th</w:t>
            </w:r>
            <w:r w:rsidR="00731723">
              <w:rPr>
                <w:i/>
              </w:rPr>
              <w:t>i</w:t>
            </w:r>
            <w:r>
              <w:rPr>
                <w:i/>
              </w:rPr>
              <w:t>s may include:</w:t>
            </w:r>
          </w:p>
          <w:p w14:paraId="5EEFB0E6" w14:textId="77777777" w:rsidR="00731723" w:rsidRPr="00792EF2" w:rsidRDefault="00731723" w:rsidP="00792EF2">
            <w:pPr>
              <w:pStyle w:val="ListParagraph"/>
              <w:numPr>
                <w:ilvl w:val="0"/>
                <w:numId w:val="1"/>
              </w:numPr>
              <w:rPr>
                <w:i/>
              </w:rPr>
            </w:pPr>
            <w:r>
              <w:rPr>
                <w:i/>
              </w:rPr>
              <w:t>Assumptions about the project approach, scope or deliverables</w:t>
            </w:r>
          </w:p>
          <w:p w14:paraId="2C626057" w14:textId="77777777" w:rsidR="000D528D" w:rsidRDefault="00731723" w:rsidP="000D528D">
            <w:pPr>
              <w:pStyle w:val="ListParagraph"/>
              <w:numPr>
                <w:ilvl w:val="0"/>
                <w:numId w:val="1"/>
              </w:numPr>
              <w:rPr>
                <w:i/>
              </w:rPr>
            </w:pPr>
            <w:r>
              <w:rPr>
                <w:i/>
              </w:rPr>
              <w:t>Details of p</w:t>
            </w:r>
            <w:r w:rsidR="000D528D">
              <w:rPr>
                <w:i/>
              </w:rPr>
              <w:t>revious similar projects</w:t>
            </w:r>
          </w:p>
          <w:p w14:paraId="5516BBF3" w14:textId="77777777" w:rsidR="000D528D" w:rsidRDefault="009C27AB" w:rsidP="000D528D">
            <w:pPr>
              <w:pStyle w:val="ListParagraph"/>
              <w:numPr>
                <w:ilvl w:val="0"/>
                <w:numId w:val="1"/>
              </w:numPr>
              <w:rPr>
                <w:i/>
              </w:rPr>
            </w:pPr>
            <w:r>
              <w:rPr>
                <w:i/>
              </w:rPr>
              <w:t xml:space="preserve">Risks or other unknown elements </w:t>
            </w:r>
          </w:p>
          <w:p w14:paraId="64354B04" w14:textId="77777777" w:rsidR="009C27AB" w:rsidRPr="009C27AB" w:rsidRDefault="009C27AB" w:rsidP="009C27AB">
            <w:pPr>
              <w:rPr>
                <w:i/>
              </w:rPr>
            </w:pPr>
            <w:r>
              <w:rPr>
                <w:i/>
              </w:rPr>
              <w:t>Record as many details as are relevant</w:t>
            </w:r>
          </w:p>
        </w:tc>
      </w:tr>
    </w:tbl>
    <w:p w14:paraId="6D76C88C" w14:textId="77777777" w:rsidR="008B5CEE" w:rsidRDefault="008B5CEE"/>
    <w:p w14:paraId="00F89BDF" w14:textId="77777777"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14:paraId="5C807AF9" w14:textId="77777777"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14:paraId="47FA8ECE" w14:textId="77777777" w:rsidR="001B4393" w:rsidRPr="00096F08" w:rsidRDefault="001B4393" w:rsidP="00096F08">
      <w:pPr>
        <w:pStyle w:val="ListParagraph"/>
        <w:numPr>
          <w:ilvl w:val="0"/>
          <w:numId w:val="3"/>
        </w:numPr>
        <w:rPr>
          <w:sz w:val="24"/>
          <w:szCs w:val="24"/>
        </w:rPr>
      </w:pPr>
      <w:r w:rsidRPr="00096F08">
        <w:rPr>
          <w:sz w:val="24"/>
          <w:szCs w:val="24"/>
        </w:rPr>
        <w:t>Small – 50 days</w:t>
      </w:r>
    </w:p>
    <w:p w14:paraId="72454CCD" w14:textId="77777777"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14:paraId="67A037C0" w14:textId="77777777"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14:paraId="0887B485" w14:textId="77777777" w:rsidR="000D528D" w:rsidRDefault="001B4393" w:rsidP="000D528D">
      <w:pPr>
        <w:pStyle w:val="ListParagraph"/>
        <w:numPr>
          <w:ilvl w:val="0"/>
          <w:numId w:val="3"/>
        </w:numPr>
      </w:pPr>
      <w:r w:rsidRPr="00BE3EFE">
        <w:rPr>
          <w:sz w:val="24"/>
          <w:szCs w:val="24"/>
        </w:rPr>
        <w:t xml:space="preserve">Extra Large – 500 days </w:t>
      </w:r>
      <w:r w:rsidR="000D528D">
        <w:tab/>
      </w:r>
      <w:r w:rsidR="000D528D">
        <w:tab/>
      </w:r>
      <w:r w:rsidR="000D528D">
        <w:tab/>
      </w:r>
      <w:r w:rsidR="000D528D">
        <w:tab/>
      </w:r>
      <w:r w:rsidR="000D528D">
        <w:tab/>
      </w:r>
    </w:p>
    <w:p w14:paraId="5924F7C8" w14:textId="77777777" w:rsidR="000D528D" w:rsidRDefault="000D528D" w:rsidP="000D528D">
      <w:r>
        <w:tab/>
      </w:r>
      <w:r>
        <w:tab/>
      </w:r>
      <w:r>
        <w:tab/>
      </w:r>
      <w:r>
        <w:tab/>
      </w:r>
      <w:r>
        <w:tab/>
      </w:r>
    </w:p>
    <w:p w14:paraId="7A428699" w14:textId="77777777" w:rsidR="000D528D" w:rsidRDefault="000D528D" w:rsidP="000D528D">
      <w:r>
        <w:tab/>
      </w:r>
      <w:r>
        <w:tab/>
      </w:r>
      <w:r>
        <w:tab/>
      </w:r>
      <w:r>
        <w:tab/>
      </w:r>
      <w:r>
        <w:tab/>
      </w:r>
    </w:p>
    <w:p w14:paraId="65329EB4" w14:textId="77777777"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00E6B"/>
    <w:rsid w:val="002045FB"/>
    <w:rsid w:val="002477EA"/>
    <w:rsid w:val="00270B09"/>
    <w:rsid w:val="002F0A4F"/>
    <w:rsid w:val="00475A79"/>
    <w:rsid w:val="0049792E"/>
    <w:rsid w:val="00510358"/>
    <w:rsid w:val="00572E22"/>
    <w:rsid w:val="005838E1"/>
    <w:rsid w:val="005B0308"/>
    <w:rsid w:val="005D0AFD"/>
    <w:rsid w:val="006C5F92"/>
    <w:rsid w:val="0070792C"/>
    <w:rsid w:val="00731723"/>
    <w:rsid w:val="0076682F"/>
    <w:rsid w:val="00792EF2"/>
    <w:rsid w:val="00801414"/>
    <w:rsid w:val="008B5CEE"/>
    <w:rsid w:val="008E1A15"/>
    <w:rsid w:val="008E4330"/>
    <w:rsid w:val="0097066C"/>
    <w:rsid w:val="00973AD1"/>
    <w:rsid w:val="009C04BA"/>
    <w:rsid w:val="009C27AB"/>
    <w:rsid w:val="009F3B26"/>
    <w:rsid w:val="00A11DD6"/>
    <w:rsid w:val="00A73856"/>
    <w:rsid w:val="00B4303F"/>
    <w:rsid w:val="00B47876"/>
    <w:rsid w:val="00BB165D"/>
    <w:rsid w:val="00BE3EFE"/>
    <w:rsid w:val="00C26119"/>
    <w:rsid w:val="00C63351"/>
    <w:rsid w:val="00C82AE0"/>
    <w:rsid w:val="00CC3574"/>
    <w:rsid w:val="00CF4FEA"/>
    <w:rsid w:val="00DA1186"/>
    <w:rsid w:val="00DB0320"/>
    <w:rsid w:val="00DE0845"/>
    <w:rsid w:val="00DE2E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paragraph" w:styleId="NormalWeb">
    <w:name w:val="Normal (Web)"/>
    <w:basedOn w:val="Normal"/>
    <w:uiPriority w:val="99"/>
    <w:unhideWhenUsed/>
    <w:rsid w:val="00801414"/>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paragraph" w:styleId="NormalWeb">
    <w:name w:val="Normal (Web)"/>
    <w:basedOn w:val="Normal"/>
    <w:uiPriority w:val="99"/>
    <w:unhideWhenUsed/>
    <w:rsid w:val="00801414"/>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151927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682C-F5F5-4E96-A6FF-4B8B34C2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13</cp:revision>
  <cp:lastPrinted>2013-11-14T13:51:00Z</cp:lastPrinted>
  <dcterms:created xsi:type="dcterms:W3CDTF">2013-11-14T15:27:00Z</dcterms:created>
  <dcterms:modified xsi:type="dcterms:W3CDTF">2013-11-27T14:46:00Z</dcterms:modified>
</cp:coreProperties>
</file>