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B0BA5" w14:textId="77777777" w:rsidR="008E4330" w:rsidRDefault="00097D93" w:rsidP="008B5CEE">
      <w:pPr>
        <w:pStyle w:val="Heading1"/>
      </w:pPr>
      <w:r w:rsidRPr="00097D93">
        <w:t xml:space="preserve">IS Applications Annual Planning 2013/14 </w:t>
      </w:r>
    </w:p>
    <w:p w14:paraId="58DAA3B7" w14:textId="77777777" w:rsidR="009F3B26" w:rsidRPr="009F3B26" w:rsidRDefault="008B5CEE" w:rsidP="009C27AB">
      <w:pPr>
        <w:pStyle w:val="Heading2"/>
      </w:pPr>
      <w:r>
        <w:t>Proposal Suggestion Template</w:t>
      </w:r>
    </w:p>
    <w:tbl>
      <w:tblPr>
        <w:tblStyle w:val="TableGrid"/>
        <w:tblW w:w="0" w:type="auto"/>
        <w:tblLook w:val="04A0" w:firstRow="1" w:lastRow="0" w:firstColumn="1" w:lastColumn="0" w:noHBand="0" w:noVBand="1"/>
      </w:tblPr>
      <w:tblGrid>
        <w:gridCol w:w="1763"/>
        <w:gridCol w:w="2865"/>
        <w:gridCol w:w="8"/>
        <w:gridCol w:w="1634"/>
        <w:gridCol w:w="325"/>
        <w:gridCol w:w="1161"/>
        <w:gridCol w:w="493"/>
        <w:gridCol w:w="993"/>
      </w:tblGrid>
      <w:tr w:rsidR="000D528D" w:rsidRPr="008B5CEE" w14:paraId="2058A063" w14:textId="77777777" w:rsidTr="00044CE5">
        <w:tc>
          <w:tcPr>
            <w:tcW w:w="1763" w:type="dxa"/>
            <w:shd w:val="clear" w:color="auto" w:fill="D9D9D9" w:themeFill="background1" w:themeFillShade="D9"/>
          </w:tcPr>
          <w:p w14:paraId="56C7772D" w14:textId="77777777" w:rsidR="009F3B26" w:rsidRPr="00097D93" w:rsidRDefault="009F3B26" w:rsidP="00C26119">
            <w:pPr>
              <w:rPr>
                <w:sz w:val="24"/>
                <w:szCs w:val="24"/>
              </w:rPr>
            </w:pPr>
            <w:r>
              <w:rPr>
                <w:sz w:val="24"/>
                <w:szCs w:val="24"/>
              </w:rPr>
              <w:t>Programme</w:t>
            </w:r>
          </w:p>
        </w:tc>
        <w:tc>
          <w:tcPr>
            <w:tcW w:w="4832" w:type="dxa"/>
            <w:gridSpan w:val="4"/>
          </w:tcPr>
          <w:p w14:paraId="3D33CF11" w14:textId="77777777" w:rsidR="009F3B26" w:rsidRPr="008B5CEE" w:rsidRDefault="0030391E" w:rsidP="00C26119">
            <w:pPr>
              <w:rPr>
                <w:i/>
              </w:rPr>
            </w:pPr>
            <w:r>
              <w:rPr>
                <w:i/>
              </w:rPr>
              <w:t>Corporate Infrastructure</w:t>
            </w:r>
          </w:p>
        </w:tc>
        <w:tc>
          <w:tcPr>
            <w:tcW w:w="1654" w:type="dxa"/>
            <w:gridSpan w:val="2"/>
            <w:shd w:val="clear" w:color="auto" w:fill="D9D9D9" w:themeFill="background1" w:themeFillShade="D9"/>
          </w:tcPr>
          <w:p w14:paraId="079B913A" w14:textId="77777777" w:rsidR="009F3B26" w:rsidRPr="005D0AFD" w:rsidRDefault="009F3B26" w:rsidP="00C26119">
            <w:pPr>
              <w:rPr>
                <w:sz w:val="24"/>
                <w:szCs w:val="24"/>
              </w:rPr>
            </w:pPr>
            <w:r w:rsidRPr="005D0AFD">
              <w:rPr>
                <w:sz w:val="24"/>
                <w:szCs w:val="24"/>
              </w:rPr>
              <w:t>Programme Priority</w:t>
            </w:r>
          </w:p>
        </w:tc>
        <w:tc>
          <w:tcPr>
            <w:tcW w:w="993" w:type="dxa"/>
          </w:tcPr>
          <w:p w14:paraId="761F0D92" w14:textId="77777777" w:rsidR="009F3B26" w:rsidRPr="008B5CEE" w:rsidRDefault="009F3B26" w:rsidP="00C26119">
            <w:pPr>
              <w:rPr>
                <w:i/>
              </w:rPr>
            </w:pPr>
          </w:p>
        </w:tc>
      </w:tr>
      <w:tr w:rsidR="001B4393" w:rsidRPr="008B5CEE" w14:paraId="2FA10666" w14:textId="77777777" w:rsidTr="00044CE5">
        <w:tc>
          <w:tcPr>
            <w:tcW w:w="1763" w:type="dxa"/>
            <w:shd w:val="clear" w:color="auto" w:fill="D9D9D9" w:themeFill="background1" w:themeFillShade="D9"/>
          </w:tcPr>
          <w:p w14:paraId="030DC3AB" w14:textId="77777777" w:rsidR="001B4393" w:rsidRDefault="001B4393" w:rsidP="00C26119">
            <w:pPr>
              <w:rPr>
                <w:sz w:val="24"/>
                <w:szCs w:val="24"/>
              </w:rPr>
            </w:pPr>
            <w:r>
              <w:rPr>
                <w:sz w:val="24"/>
                <w:szCs w:val="24"/>
              </w:rPr>
              <w:t>Portfolio</w:t>
            </w:r>
          </w:p>
        </w:tc>
        <w:tc>
          <w:tcPr>
            <w:tcW w:w="4832" w:type="dxa"/>
            <w:gridSpan w:val="4"/>
          </w:tcPr>
          <w:p w14:paraId="42183875" w14:textId="77777777" w:rsidR="001B4393" w:rsidRPr="008B5CEE" w:rsidRDefault="0030391E" w:rsidP="00C26119">
            <w:pPr>
              <w:rPr>
                <w:i/>
              </w:rPr>
            </w:pPr>
            <w:r>
              <w:rPr>
                <w:i/>
              </w:rPr>
              <w:t>ISG</w:t>
            </w:r>
          </w:p>
        </w:tc>
        <w:tc>
          <w:tcPr>
            <w:tcW w:w="1654" w:type="dxa"/>
            <w:gridSpan w:val="2"/>
            <w:shd w:val="clear" w:color="auto" w:fill="D9D9D9" w:themeFill="background1" w:themeFillShade="D9"/>
          </w:tcPr>
          <w:p w14:paraId="363AC955" w14:textId="77777777" w:rsidR="001B4393" w:rsidRPr="005D0AFD" w:rsidRDefault="001B4393" w:rsidP="00C26119">
            <w:pPr>
              <w:rPr>
                <w:sz w:val="24"/>
                <w:szCs w:val="24"/>
              </w:rPr>
            </w:pPr>
            <w:r w:rsidRPr="005D0AFD">
              <w:rPr>
                <w:sz w:val="24"/>
                <w:szCs w:val="24"/>
              </w:rPr>
              <w:t>Portfolio Priorit</w:t>
            </w:r>
            <w:r w:rsidR="005D0AFD" w:rsidRPr="005D0AFD">
              <w:rPr>
                <w:sz w:val="24"/>
                <w:szCs w:val="24"/>
              </w:rPr>
              <w:t>y</w:t>
            </w:r>
          </w:p>
        </w:tc>
        <w:tc>
          <w:tcPr>
            <w:tcW w:w="993" w:type="dxa"/>
          </w:tcPr>
          <w:p w14:paraId="084A90C8" w14:textId="77777777" w:rsidR="001B4393" w:rsidRPr="008B5CEE" w:rsidRDefault="001B4393" w:rsidP="00C26119">
            <w:pPr>
              <w:rPr>
                <w:i/>
              </w:rPr>
            </w:pPr>
          </w:p>
        </w:tc>
      </w:tr>
      <w:tr w:rsidR="008B5CEE" w:rsidRPr="00097D93" w14:paraId="19871603" w14:textId="77777777" w:rsidTr="00044CE5">
        <w:tc>
          <w:tcPr>
            <w:tcW w:w="1763" w:type="dxa"/>
            <w:shd w:val="clear" w:color="auto" w:fill="D9D9D9" w:themeFill="background1" w:themeFillShade="D9"/>
          </w:tcPr>
          <w:p w14:paraId="4F7F444E" w14:textId="77777777" w:rsidR="008B5CEE" w:rsidRPr="00097D93" w:rsidRDefault="009F3B26" w:rsidP="00C26119">
            <w:pPr>
              <w:rPr>
                <w:sz w:val="24"/>
                <w:szCs w:val="24"/>
              </w:rPr>
            </w:pPr>
            <w:r>
              <w:rPr>
                <w:sz w:val="24"/>
                <w:szCs w:val="24"/>
              </w:rPr>
              <w:t>Proposal Name</w:t>
            </w:r>
          </w:p>
        </w:tc>
        <w:tc>
          <w:tcPr>
            <w:tcW w:w="7479" w:type="dxa"/>
            <w:gridSpan w:val="7"/>
          </w:tcPr>
          <w:p w14:paraId="606C4897" w14:textId="77777777" w:rsidR="008B5CEE" w:rsidRDefault="008B5CEE" w:rsidP="00C26119">
            <w:pPr>
              <w:rPr>
                <w:i/>
              </w:rPr>
            </w:pPr>
            <w:r w:rsidRPr="008B5CEE">
              <w:rPr>
                <w:i/>
              </w:rPr>
              <w:t xml:space="preserve"> </w:t>
            </w:r>
            <w:r w:rsidR="00FC66E7">
              <w:rPr>
                <w:i/>
              </w:rPr>
              <w:t>Core Technology Updates</w:t>
            </w:r>
          </w:p>
          <w:p w14:paraId="3529A40B" w14:textId="77777777" w:rsidR="00044CE5" w:rsidRPr="008B5CEE" w:rsidRDefault="00044CE5" w:rsidP="00C26119">
            <w:pPr>
              <w:rPr>
                <w:i/>
              </w:rPr>
            </w:pPr>
          </w:p>
        </w:tc>
      </w:tr>
      <w:tr w:rsidR="008B5CEE" w:rsidRPr="00097D93" w14:paraId="1E56E4D0" w14:textId="77777777" w:rsidTr="00044CE5">
        <w:tc>
          <w:tcPr>
            <w:tcW w:w="1763" w:type="dxa"/>
            <w:shd w:val="clear" w:color="auto" w:fill="D9D9D9" w:themeFill="background1" w:themeFillShade="D9"/>
          </w:tcPr>
          <w:p w14:paraId="6E6426A9" w14:textId="77777777" w:rsidR="008B5CEE" w:rsidRDefault="0097066C" w:rsidP="00C26119">
            <w:pPr>
              <w:rPr>
                <w:sz w:val="24"/>
                <w:szCs w:val="24"/>
              </w:rPr>
            </w:pPr>
            <w:r>
              <w:rPr>
                <w:sz w:val="24"/>
                <w:szCs w:val="24"/>
              </w:rPr>
              <w:t>Who wants it done</w:t>
            </w:r>
          </w:p>
        </w:tc>
        <w:tc>
          <w:tcPr>
            <w:tcW w:w="7479" w:type="dxa"/>
            <w:gridSpan w:val="7"/>
          </w:tcPr>
          <w:p w14:paraId="132C1CBB" w14:textId="77777777" w:rsidR="008B5CEE" w:rsidRPr="008B5CEE" w:rsidRDefault="00FC66E7" w:rsidP="00C26119">
            <w:pPr>
              <w:rPr>
                <w:i/>
              </w:rPr>
            </w:pPr>
            <w:r>
              <w:rPr>
                <w:i/>
              </w:rPr>
              <w:t>David Smyth</w:t>
            </w:r>
          </w:p>
        </w:tc>
      </w:tr>
      <w:tr w:rsidR="009C27AB" w:rsidRPr="00097D93" w14:paraId="38423D08" w14:textId="77777777" w:rsidTr="00044CE5">
        <w:tc>
          <w:tcPr>
            <w:tcW w:w="1763" w:type="dxa"/>
            <w:shd w:val="clear" w:color="auto" w:fill="D9D9D9" w:themeFill="background1" w:themeFillShade="D9"/>
          </w:tcPr>
          <w:p w14:paraId="0694BFDB" w14:textId="77777777" w:rsidR="009C27AB" w:rsidRDefault="009C27AB" w:rsidP="00C26119">
            <w:pPr>
              <w:rPr>
                <w:sz w:val="24"/>
                <w:szCs w:val="24"/>
              </w:rPr>
            </w:pPr>
            <w:r>
              <w:rPr>
                <w:sz w:val="24"/>
                <w:szCs w:val="24"/>
              </w:rPr>
              <w:t>Other Contributors</w:t>
            </w:r>
          </w:p>
        </w:tc>
        <w:tc>
          <w:tcPr>
            <w:tcW w:w="7479" w:type="dxa"/>
            <w:gridSpan w:val="7"/>
          </w:tcPr>
          <w:p w14:paraId="1390E231" w14:textId="77777777" w:rsidR="009C27AB" w:rsidRPr="008B5CEE" w:rsidRDefault="00FC66E7" w:rsidP="00C26119">
            <w:pPr>
              <w:rPr>
                <w:i/>
              </w:rPr>
            </w:pPr>
            <w:r>
              <w:rPr>
                <w:i/>
              </w:rPr>
              <w:t>ITI Unix</w:t>
            </w:r>
          </w:p>
        </w:tc>
      </w:tr>
      <w:tr w:rsidR="009F3B26" w:rsidRPr="00097D93" w14:paraId="43274D24" w14:textId="77777777" w:rsidTr="00044CE5">
        <w:trPr>
          <w:trHeight w:val="988"/>
        </w:trPr>
        <w:tc>
          <w:tcPr>
            <w:tcW w:w="1763" w:type="dxa"/>
            <w:shd w:val="clear" w:color="auto" w:fill="D9D9D9" w:themeFill="background1" w:themeFillShade="D9"/>
          </w:tcPr>
          <w:p w14:paraId="602C1D78" w14:textId="77777777" w:rsidR="009F3B26" w:rsidRDefault="0097066C" w:rsidP="00C26119">
            <w:pPr>
              <w:rPr>
                <w:sz w:val="24"/>
                <w:szCs w:val="24"/>
              </w:rPr>
            </w:pPr>
            <w:r>
              <w:rPr>
                <w:sz w:val="24"/>
                <w:szCs w:val="24"/>
              </w:rPr>
              <w:t>What it is</w:t>
            </w:r>
          </w:p>
        </w:tc>
        <w:tc>
          <w:tcPr>
            <w:tcW w:w="7479" w:type="dxa"/>
            <w:gridSpan w:val="7"/>
          </w:tcPr>
          <w:p w14:paraId="17735BF7" w14:textId="04440F93" w:rsidR="009F3B26" w:rsidRDefault="00E466DA" w:rsidP="00C26119">
            <w:r>
              <w:t xml:space="preserve">Provide updates to core infrastructure elements. For 13/14 </w:t>
            </w:r>
            <w:r w:rsidR="00044827">
              <w:t xml:space="preserve">the key </w:t>
            </w:r>
            <w:r w:rsidR="00027FFC">
              <w:t>items identified are as follows:</w:t>
            </w:r>
          </w:p>
          <w:p w14:paraId="42163DFD" w14:textId="561F9E07" w:rsidR="00027FFC" w:rsidRDefault="00027FFC" w:rsidP="00C26119">
            <w:r>
              <w:br/>
            </w:r>
          </w:p>
          <w:p w14:paraId="2320FC59" w14:textId="4669AD8B" w:rsidR="00E466DA" w:rsidRDefault="00E466DA" w:rsidP="00275956">
            <w:pPr>
              <w:pStyle w:val="ListParagraph"/>
              <w:numPr>
                <w:ilvl w:val="0"/>
                <w:numId w:val="4"/>
              </w:numPr>
            </w:pPr>
            <w:r>
              <w:t>Migration of central databases to new infrastructure – APPSLIVE,</w:t>
            </w:r>
            <w:r w:rsidR="00AC62C3">
              <w:t xml:space="preserve"> </w:t>
            </w:r>
            <w:r>
              <w:t>NEWSLIVE</w:t>
            </w:r>
            <w:r w:rsidR="00AC62C3">
              <w:t xml:space="preserve"> (MISLIVE, UCDLIVE)</w:t>
            </w:r>
            <w:r>
              <w:t>?</w:t>
            </w:r>
          </w:p>
          <w:p w14:paraId="21949A55" w14:textId="5CF17576" w:rsidR="00027FFC" w:rsidRDefault="00027FFC" w:rsidP="00027FFC">
            <w:pPr>
              <w:pStyle w:val="ListParagraph"/>
              <w:ind w:left="360"/>
            </w:pPr>
            <w:r>
              <w:t>The procedures and experience gained through the project to Implement the new Database tier (ITS100) will be utilised to migrate the stated databases</w:t>
            </w:r>
          </w:p>
          <w:p w14:paraId="36340DC1" w14:textId="5675A235" w:rsidR="00027FFC" w:rsidRDefault="00027FFC" w:rsidP="00027FFC">
            <w:pPr>
              <w:pStyle w:val="ListParagraph"/>
              <w:ind w:left="360"/>
            </w:pPr>
            <w:r>
              <w:br/>
              <w:t>There is the further requirement to  determine the requirement to migrate the central databases MISLIVE  and UCDLIVE (</w:t>
            </w:r>
            <w:proofErr w:type="spellStart"/>
            <w:r>
              <w:t>Calum</w:t>
            </w:r>
            <w:proofErr w:type="spellEnd"/>
            <w:r>
              <w:t xml:space="preserve"> McLean)</w:t>
            </w:r>
            <w:r>
              <w:br/>
            </w:r>
          </w:p>
          <w:p w14:paraId="013759A6" w14:textId="6A005BF8" w:rsidR="00E466DA" w:rsidRDefault="00E466DA" w:rsidP="00275956">
            <w:pPr>
              <w:pStyle w:val="ListParagraph"/>
              <w:numPr>
                <w:ilvl w:val="0"/>
                <w:numId w:val="4"/>
              </w:numPr>
            </w:pPr>
            <w:r>
              <w:t xml:space="preserve">Upgrade </w:t>
            </w:r>
            <w:proofErr w:type="spellStart"/>
            <w:r>
              <w:t>cosign</w:t>
            </w:r>
            <w:proofErr w:type="spellEnd"/>
            <w:r>
              <w:t xml:space="preserve"> version</w:t>
            </w:r>
            <w:r w:rsidR="007E0A75">
              <w:t xml:space="preserve"> to v3</w:t>
            </w:r>
            <w:bookmarkStart w:id="0" w:name="_GoBack"/>
            <w:bookmarkEnd w:id="0"/>
          </w:p>
          <w:p w14:paraId="79DC9C79" w14:textId="77777777" w:rsidR="00027FFC" w:rsidRDefault="00027FFC" w:rsidP="00027FFC">
            <w:pPr>
              <w:pStyle w:val="ListParagraph"/>
              <w:ind w:left="360"/>
            </w:pPr>
          </w:p>
          <w:p w14:paraId="4AE406F9" w14:textId="3073D5DF" w:rsidR="00044827" w:rsidRDefault="00027FFC" w:rsidP="00275956">
            <w:pPr>
              <w:pStyle w:val="ListParagraph"/>
              <w:numPr>
                <w:ilvl w:val="0"/>
                <w:numId w:val="4"/>
              </w:numPr>
            </w:pPr>
            <w:r>
              <w:t>Undertake a review of the infrastructure with a view to preparing annul planning requirements f</w:t>
            </w:r>
            <w:r w:rsidR="00044827">
              <w:t>or 14/15</w:t>
            </w:r>
          </w:p>
          <w:p w14:paraId="3F9BBE44" w14:textId="77777777" w:rsidR="009F3B26" w:rsidRPr="009F3B26" w:rsidRDefault="009F3B26" w:rsidP="00C26119"/>
          <w:p w14:paraId="54DEFEA2" w14:textId="77777777" w:rsidR="009F3B26" w:rsidRPr="009F3B26" w:rsidRDefault="009F3B26" w:rsidP="00C26119"/>
          <w:p w14:paraId="09DB7515" w14:textId="77777777" w:rsidR="009F3B26" w:rsidRPr="008B5CEE" w:rsidRDefault="009F3B26" w:rsidP="00C26119">
            <w:pPr>
              <w:rPr>
                <w:i/>
              </w:rPr>
            </w:pPr>
          </w:p>
        </w:tc>
      </w:tr>
      <w:tr w:rsidR="0097066C" w:rsidRPr="00097D93" w14:paraId="5AE1EA29" w14:textId="77777777" w:rsidTr="00044CE5">
        <w:tc>
          <w:tcPr>
            <w:tcW w:w="1763" w:type="dxa"/>
            <w:shd w:val="clear" w:color="auto" w:fill="D9D9D9" w:themeFill="background1" w:themeFillShade="D9"/>
          </w:tcPr>
          <w:p w14:paraId="55C745DA" w14:textId="06006F72" w:rsidR="0097066C" w:rsidRDefault="0097066C" w:rsidP="0097066C">
            <w:pPr>
              <w:rPr>
                <w:sz w:val="24"/>
                <w:szCs w:val="24"/>
              </w:rPr>
            </w:pPr>
            <w:r>
              <w:rPr>
                <w:sz w:val="24"/>
                <w:szCs w:val="24"/>
              </w:rPr>
              <w:t>Why it is needed</w:t>
            </w:r>
            <w:r w:rsidR="001B4393">
              <w:rPr>
                <w:sz w:val="24"/>
                <w:szCs w:val="24"/>
              </w:rPr>
              <w:t xml:space="preserve"> / what the benefits are</w:t>
            </w:r>
            <w:r>
              <w:rPr>
                <w:sz w:val="24"/>
                <w:szCs w:val="24"/>
              </w:rPr>
              <w:br/>
            </w:r>
            <w:r>
              <w:rPr>
                <w:sz w:val="24"/>
                <w:szCs w:val="24"/>
              </w:rPr>
              <w:br/>
            </w:r>
          </w:p>
          <w:p w14:paraId="58CFABFD" w14:textId="77777777" w:rsidR="00044CE5" w:rsidRDefault="00044CE5" w:rsidP="0097066C">
            <w:pPr>
              <w:rPr>
                <w:sz w:val="24"/>
                <w:szCs w:val="24"/>
              </w:rPr>
            </w:pPr>
          </w:p>
          <w:p w14:paraId="3205E30D" w14:textId="77777777" w:rsidR="00044CE5" w:rsidRDefault="00044CE5" w:rsidP="0097066C">
            <w:pPr>
              <w:rPr>
                <w:sz w:val="24"/>
                <w:szCs w:val="24"/>
              </w:rPr>
            </w:pPr>
          </w:p>
          <w:p w14:paraId="26E430E8" w14:textId="77777777" w:rsidR="005D0AFD" w:rsidRDefault="005D0AFD" w:rsidP="0097066C">
            <w:pPr>
              <w:rPr>
                <w:sz w:val="24"/>
                <w:szCs w:val="24"/>
              </w:rPr>
            </w:pPr>
          </w:p>
        </w:tc>
        <w:tc>
          <w:tcPr>
            <w:tcW w:w="7479" w:type="dxa"/>
            <w:gridSpan w:val="7"/>
          </w:tcPr>
          <w:p w14:paraId="3A9A042C" w14:textId="77777777" w:rsidR="0097066C" w:rsidRDefault="00044CE5" w:rsidP="00C26119">
            <w:pPr>
              <w:rPr>
                <w:i/>
              </w:rPr>
            </w:pPr>
            <w:r w:rsidRPr="00044CE5">
              <w:rPr>
                <w:i/>
              </w:rPr>
              <w:t>May include reference/link to context statement where appropriate</w:t>
            </w:r>
          </w:p>
          <w:p w14:paraId="4D30A937" w14:textId="77777777" w:rsidR="000D76AE" w:rsidRDefault="000D76AE" w:rsidP="00044827">
            <w:pPr>
              <w:rPr>
                <w:i/>
              </w:rPr>
            </w:pPr>
          </w:p>
          <w:p w14:paraId="1B34FD30" w14:textId="77702228" w:rsidR="00E466DA" w:rsidRPr="000D76AE" w:rsidRDefault="00044827" w:rsidP="00044827">
            <w:r w:rsidRPr="000D76AE">
              <w:t xml:space="preserve">To ensure that services are maintained at an appropriate level, we need to undertake regular upgrades of system components for the purposes of security, vendor support or technology change. Key benefits will be secure systems, </w:t>
            </w:r>
            <w:r w:rsidR="002069EF" w:rsidRPr="000D76AE">
              <w:t>full support position on our core technologies and ability to leverage new functions or features.</w:t>
            </w:r>
            <w:r w:rsidR="001C4D80" w:rsidRPr="000D76AE">
              <w:t xml:space="preserve"> </w:t>
            </w:r>
          </w:p>
        </w:tc>
      </w:tr>
      <w:tr w:rsidR="009F3B26" w:rsidRPr="00097D93" w14:paraId="2595A838" w14:textId="77777777" w:rsidTr="00044CE5">
        <w:tc>
          <w:tcPr>
            <w:tcW w:w="1763" w:type="dxa"/>
            <w:shd w:val="clear" w:color="auto" w:fill="D9D9D9" w:themeFill="background1" w:themeFillShade="D9"/>
          </w:tcPr>
          <w:p w14:paraId="27E10AED" w14:textId="77777777" w:rsidR="009F3B26" w:rsidRDefault="009F3B26" w:rsidP="00C26119">
            <w:pPr>
              <w:rPr>
                <w:sz w:val="24"/>
                <w:szCs w:val="24"/>
              </w:rPr>
            </w:pPr>
            <w:r>
              <w:rPr>
                <w:sz w:val="24"/>
                <w:szCs w:val="24"/>
              </w:rPr>
              <w:t>Proposal Type</w:t>
            </w:r>
          </w:p>
          <w:p w14:paraId="7F6CEC60" w14:textId="77777777" w:rsidR="00044CE5" w:rsidRDefault="00044CE5" w:rsidP="00C26119">
            <w:pPr>
              <w:rPr>
                <w:sz w:val="24"/>
                <w:szCs w:val="24"/>
              </w:rPr>
            </w:pPr>
          </w:p>
        </w:tc>
        <w:tc>
          <w:tcPr>
            <w:tcW w:w="2865" w:type="dxa"/>
          </w:tcPr>
          <w:p w14:paraId="10B52D9E" w14:textId="33C19195" w:rsidR="009F3B26" w:rsidRPr="008B5CEE" w:rsidRDefault="009F3B26" w:rsidP="00C26119">
            <w:pPr>
              <w:rPr>
                <w:i/>
              </w:rPr>
            </w:pPr>
            <w:r>
              <w:rPr>
                <w:i/>
              </w:rPr>
              <w:t>New</w:t>
            </w:r>
          </w:p>
        </w:tc>
        <w:tc>
          <w:tcPr>
            <w:tcW w:w="1642" w:type="dxa"/>
            <w:gridSpan w:val="2"/>
            <w:shd w:val="clear" w:color="auto" w:fill="D9D9D9" w:themeFill="background1" w:themeFillShade="D9"/>
          </w:tcPr>
          <w:p w14:paraId="11A3BAED" w14:textId="77777777" w:rsidR="009F3B26" w:rsidRPr="005D0AFD" w:rsidRDefault="0097066C" w:rsidP="00C26119">
            <w:pPr>
              <w:rPr>
                <w:sz w:val="24"/>
                <w:szCs w:val="24"/>
              </w:rPr>
            </w:pPr>
            <w:r w:rsidRPr="005D0AFD">
              <w:rPr>
                <w:sz w:val="24"/>
                <w:szCs w:val="24"/>
              </w:rPr>
              <w:t>Type of work</w:t>
            </w:r>
            <w:r w:rsidR="000D528D" w:rsidRPr="005D0AFD">
              <w:rPr>
                <w:sz w:val="24"/>
                <w:szCs w:val="24"/>
              </w:rPr>
              <w:t xml:space="preserve"> </w:t>
            </w:r>
          </w:p>
        </w:tc>
        <w:tc>
          <w:tcPr>
            <w:tcW w:w="2972" w:type="dxa"/>
            <w:gridSpan w:val="4"/>
          </w:tcPr>
          <w:p w14:paraId="5146D63C" w14:textId="77C99D68" w:rsidR="009F3B26" w:rsidRPr="008B5CEE" w:rsidRDefault="00C21D2E" w:rsidP="00C26119">
            <w:pPr>
              <w:rPr>
                <w:i/>
              </w:rPr>
            </w:pPr>
            <w:r>
              <w:rPr>
                <w:i/>
              </w:rPr>
              <w:t xml:space="preserve">Compliance </w:t>
            </w:r>
          </w:p>
        </w:tc>
      </w:tr>
      <w:tr w:rsidR="00044CE5" w:rsidRPr="00097D93" w14:paraId="4CAB463A" w14:textId="77777777" w:rsidTr="00044CE5">
        <w:trPr>
          <w:trHeight w:val="597"/>
        </w:trPr>
        <w:tc>
          <w:tcPr>
            <w:tcW w:w="1763" w:type="dxa"/>
            <w:vMerge w:val="restart"/>
            <w:shd w:val="clear" w:color="auto" w:fill="D9D9D9" w:themeFill="background1" w:themeFillShade="D9"/>
          </w:tcPr>
          <w:p w14:paraId="79633FD0" w14:textId="77777777" w:rsidR="00044CE5" w:rsidRPr="005D0AFD" w:rsidRDefault="00044CE5" w:rsidP="00C26119">
            <w:pPr>
              <w:rPr>
                <w:sz w:val="24"/>
                <w:szCs w:val="24"/>
              </w:rPr>
            </w:pPr>
            <w:r w:rsidRPr="005D0AFD">
              <w:rPr>
                <w:sz w:val="24"/>
                <w:szCs w:val="24"/>
              </w:rPr>
              <w:t xml:space="preserve">Funding Source </w:t>
            </w:r>
          </w:p>
        </w:tc>
        <w:tc>
          <w:tcPr>
            <w:tcW w:w="2873" w:type="dxa"/>
            <w:gridSpan w:val="2"/>
            <w:vMerge w:val="restart"/>
          </w:tcPr>
          <w:p w14:paraId="6F93F5BC" w14:textId="5222B486" w:rsidR="00044CE5" w:rsidRDefault="00044CE5" w:rsidP="00C26119">
            <w:pPr>
              <w:rPr>
                <w:i/>
              </w:rPr>
            </w:pPr>
            <w:r>
              <w:rPr>
                <w:i/>
              </w:rPr>
              <w:t xml:space="preserve">Core Grant </w:t>
            </w:r>
          </w:p>
        </w:tc>
        <w:tc>
          <w:tcPr>
            <w:tcW w:w="1634" w:type="dxa"/>
            <w:vMerge w:val="restart"/>
            <w:shd w:val="clear" w:color="auto" w:fill="D9D9D9" w:themeFill="background1" w:themeFillShade="D9"/>
          </w:tcPr>
          <w:p w14:paraId="1A473226" w14:textId="77777777" w:rsidR="00044CE5" w:rsidRPr="005D0AFD" w:rsidRDefault="005D0AFD" w:rsidP="00C26119">
            <w:pPr>
              <w:rPr>
                <w:sz w:val="24"/>
                <w:szCs w:val="24"/>
              </w:rPr>
            </w:pPr>
            <w:r w:rsidRPr="005D0AFD">
              <w:rPr>
                <w:sz w:val="24"/>
                <w:szCs w:val="24"/>
              </w:rPr>
              <w:t xml:space="preserve">Estimation </w:t>
            </w:r>
            <w:r w:rsidR="00044CE5" w:rsidRPr="005D0AFD">
              <w:rPr>
                <w:sz w:val="24"/>
                <w:szCs w:val="24"/>
              </w:rPr>
              <w:t>Type</w:t>
            </w:r>
            <w:r w:rsidRPr="005D0AFD">
              <w:rPr>
                <w:sz w:val="24"/>
                <w:szCs w:val="24"/>
              </w:rPr>
              <w:t xml:space="preserve"> (tick relevant categories)</w:t>
            </w:r>
            <w:r w:rsidR="00044CE5" w:rsidRPr="005D0AFD">
              <w:rPr>
                <w:sz w:val="24"/>
                <w:szCs w:val="24"/>
              </w:rPr>
              <w:t>:</w:t>
            </w:r>
          </w:p>
          <w:p w14:paraId="385B913B" w14:textId="77777777" w:rsidR="00044CE5" w:rsidRPr="005D0AFD" w:rsidRDefault="00044CE5" w:rsidP="00044CE5">
            <w:pPr>
              <w:rPr>
                <w:i/>
                <w:sz w:val="24"/>
                <w:szCs w:val="24"/>
              </w:rPr>
            </w:pPr>
          </w:p>
          <w:p w14:paraId="2BDF4B78" w14:textId="77777777" w:rsidR="00044CE5" w:rsidRPr="005D0AFD" w:rsidRDefault="00044CE5" w:rsidP="00044CE5">
            <w:pPr>
              <w:rPr>
                <w:i/>
                <w:sz w:val="24"/>
                <w:szCs w:val="24"/>
              </w:rPr>
            </w:pPr>
          </w:p>
          <w:p w14:paraId="305EF590" w14:textId="77777777" w:rsidR="00044CE5" w:rsidRPr="005D0AFD" w:rsidRDefault="00044CE5" w:rsidP="00044CE5">
            <w:pPr>
              <w:rPr>
                <w:sz w:val="24"/>
                <w:szCs w:val="24"/>
              </w:rPr>
            </w:pPr>
          </w:p>
        </w:tc>
        <w:tc>
          <w:tcPr>
            <w:tcW w:w="1486" w:type="dxa"/>
            <w:gridSpan w:val="2"/>
          </w:tcPr>
          <w:p w14:paraId="45FF6D47" w14:textId="77777777" w:rsidR="00044CE5" w:rsidRDefault="00044CE5" w:rsidP="00044CE5">
            <w:pPr>
              <w:rPr>
                <w:i/>
              </w:rPr>
            </w:pPr>
            <w:r w:rsidRPr="00044CE5">
              <w:rPr>
                <w:i/>
              </w:rPr>
              <w:lastRenderedPageBreak/>
              <w:t xml:space="preserve">Software </w:t>
            </w:r>
            <w:r>
              <w:rPr>
                <w:i/>
              </w:rPr>
              <w:t>Development</w:t>
            </w:r>
          </w:p>
        </w:tc>
        <w:tc>
          <w:tcPr>
            <w:tcW w:w="1486" w:type="dxa"/>
            <w:gridSpan w:val="2"/>
          </w:tcPr>
          <w:p w14:paraId="73102012" w14:textId="77777777" w:rsidR="00044CE5" w:rsidRPr="008B5CEE" w:rsidRDefault="00044CE5" w:rsidP="00044CE5">
            <w:pPr>
              <w:rPr>
                <w:i/>
              </w:rPr>
            </w:pPr>
          </w:p>
        </w:tc>
      </w:tr>
      <w:tr w:rsidR="00044CE5" w:rsidRPr="00097D93" w14:paraId="75F52301" w14:textId="77777777" w:rsidTr="00044CE5">
        <w:trPr>
          <w:trHeight w:val="597"/>
        </w:trPr>
        <w:tc>
          <w:tcPr>
            <w:tcW w:w="1763" w:type="dxa"/>
            <w:vMerge/>
            <w:shd w:val="clear" w:color="auto" w:fill="D9D9D9" w:themeFill="background1" w:themeFillShade="D9"/>
          </w:tcPr>
          <w:p w14:paraId="61B20A4A" w14:textId="77777777" w:rsidR="00044CE5" w:rsidRPr="009F3B26" w:rsidRDefault="00044CE5" w:rsidP="00C26119"/>
        </w:tc>
        <w:tc>
          <w:tcPr>
            <w:tcW w:w="2873" w:type="dxa"/>
            <w:gridSpan w:val="2"/>
            <w:vMerge/>
          </w:tcPr>
          <w:p w14:paraId="0641B651" w14:textId="77777777" w:rsidR="00044CE5" w:rsidRDefault="00044CE5" w:rsidP="00C26119">
            <w:pPr>
              <w:rPr>
                <w:i/>
              </w:rPr>
            </w:pPr>
          </w:p>
        </w:tc>
        <w:tc>
          <w:tcPr>
            <w:tcW w:w="1634" w:type="dxa"/>
            <w:vMerge/>
            <w:shd w:val="clear" w:color="auto" w:fill="D9D9D9" w:themeFill="background1" w:themeFillShade="D9"/>
          </w:tcPr>
          <w:p w14:paraId="21FBF774" w14:textId="77777777" w:rsidR="00044CE5" w:rsidRDefault="00044CE5" w:rsidP="00C26119">
            <w:pPr>
              <w:rPr>
                <w:sz w:val="24"/>
                <w:szCs w:val="24"/>
              </w:rPr>
            </w:pPr>
          </w:p>
        </w:tc>
        <w:tc>
          <w:tcPr>
            <w:tcW w:w="1486" w:type="dxa"/>
            <w:gridSpan w:val="2"/>
          </w:tcPr>
          <w:p w14:paraId="5A50CF31" w14:textId="77777777" w:rsidR="00044CE5" w:rsidRPr="008B5CEE" w:rsidRDefault="00044CE5" w:rsidP="00044CE5">
            <w:pPr>
              <w:rPr>
                <w:i/>
              </w:rPr>
            </w:pPr>
            <w:r w:rsidRPr="00044CE5">
              <w:rPr>
                <w:i/>
              </w:rPr>
              <w:t>Infrastructure Development</w:t>
            </w:r>
          </w:p>
        </w:tc>
        <w:tc>
          <w:tcPr>
            <w:tcW w:w="1486" w:type="dxa"/>
            <w:gridSpan w:val="2"/>
          </w:tcPr>
          <w:p w14:paraId="69297186" w14:textId="64F2A64D" w:rsidR="00044CE5" w:rsidRPr="008B5CEE" w:rsidRDefault="00357690" w:rsidP="00044CE5">
            <w:pPr>
              <w:rPr>
                <w:i/>
              </w:rPr>
            </w:pPr>
            <w:r>
              <w:rPr>
                <w:i/>
              </w:rPr>
              <w:t>xxx</w:t>
            </w:r>
          </w:p>
        </w:tc>
      </w:tr>
      <w:tr w:rsidR="00044CE5" w:rsidRPr="00097D93" w14:paraId="4B8D1100" w14:textId="77777777" w:rsidTr="00044CE5">
        <w:trPr>
          <w:trHeight w:val="597"/>
        </w:trPr>
        <w:tc>
          <w:tcPr>
            <w:tcW w:w="1763" w:type="dxa"/>
            <w:vMerge/>
            <w:shd w:val="clear" w:color="auto" w:fill="D9D9D9" w:themeFill="background1" w:themeFillShade="D9"/>
          </w:tcPr>
          <w:p w14:paraId="584CCAD5" w14:textId="77777777" w:rsidR="00044CE5" w:rsidRPr="009F3B26" w:rsidRDefault="00044CE5" w:rsidP="00C26119"/>
        </w:tc>
        <w:tc>
          <w:tcPr>
            <w:tcW w:w="2873" w:type="dxa"/>
            <w:gridSpan w:val="2"/>
            <w:vMerge/>
          </w:tcPr>
          <w:p w14:paraId="150E35C2" w14:textId="77777777" w:rsidR="00044CE5" w:rsidRDefault="00044CE5" w:rsidP="00C26119">
            <w:pPr>
              <w:rPr>
                <w:i/>
              </w:rPr>
            </w:pPr>
          </w:p>
        </w:tc>
        <w:tc>
          <w:tcPr>
            <w:tcW w:w="1634" w:type="dxa"/>
            <w:vMerge/>
            <w:shd w:val="clear" w:color="auto" w:fill="D9D9D9" w:themeFill="background1" w:themeFillShade="D9"/>
          </w:tcPr>
          <w:p w14:paraId="5D3107ED" w14:textId="77777777" w:rsidR="00044CE5" w:rsidRDefault="00044CE5" w:rsidP="00C26119">
            <w:pPr>
              <w:rPr>
                <w:sz w:val="24"/>
                <w:szCs w:val="24"/>
              </w:rPr>
            </w:pPr>
          </w:p>
        </w:tc>
        <w:tc>
          <w:tcPr>
            <w:tcW w:w="1486" w:type="dxa"/>
            <w:gridSpan w:val="2"/>
          </w:tcPr>
          <w:p w14:paraId="3D09EEA2" w14:textId="77777777" w:rsidR="00044CE5" w:rsidRPr="008B5CEE" w:rsidRDefault="00044CE5" w:rsidP="00044CE5">
            <w:pPr>
              <w:rPr>
                <w:i/>
              </w:rPr>
            </w:pPr>
            <w:r w:rsidRPr="00044CE5">
              <w:rPr>
                <w:i/>
              </w:rPr>
              <w:t>Business Case Development</w:t>
            </w:r>
          </w:p>
        </w:tc>
        <w:tc>
          <w:tcPr>
            <w:tcW w:w="1486" w:type="dxa"/>
            <w:gridSpan w:val="2"/>
          </w:tcPr>
          <w:p w14:paraId="41148708" w14:textId="77777777" w:rsidR="00044CE5" w:rsidRPr="008B5CEE" w:rsidRDefault="00044CE5" w:rsidP="00044CE5">
            <w:pPr>
              <w:rPr>
                <w:i/>
              </w:rPr>
            </w:pPr>
          </w:p>
        </w:tc>
      </w:tr>
      <w:tr w:rsidR="00044CE5" w:rsidRPr="00097D93" w14:paraId="6667B63D" w14:textId="77777777" w:rsidTr="00044CE5">
        <w:trPr>
          <w:trHeight w:val="597"/>
        </w:trPr>
        <w:tc>
          <w:tcPr>
            <w:tcW w:w="1763" w:type="dxa"/>
            <w:vMerge/>
            <w:shd w:val="clear" w:color="auto" w:fill="D9D9D9" w:themeFill="background1" w:themeFillShade="D9"/>
          </w:tcPr>
          <w:p w14:paraId="7DD217B2" w14:textId="77777777" w:rsidR="00044CE5" w:rsidRPr="009F3B26" w:rsidRDefault="00044CE5" w:rsidP="00C26119"/>
        </w:tc>
        <w:tc>
          <w:tcPr>
            <w:tcW w:w="2873" w:type="dxa"/>
            <w:gridSpan w:val="2"/>
            <w:vMerge/>
          </w:tcPr>
          <w:p w14:paraId="7FE3FAAD" w14:textId="77777777" w:rsidR="00044CE5" w:rsidRDefault="00044CE5" w:rsidP="00C26119">
            <w:pPr>
              <w:rPr>
                <w:i/>
              </w:rPr>
            </w:pPr>
          </w:p>
        </w:tc>
        <w:tc>
          <w:tcPr>
            <w:tcW w:w="1634" w:type="dxa"/>
            <w:vMerge/>
            <w:shd w:val="clear" w:color="auto" w:fill="D9D9D9" w:themeFill="background1" w:themeFillShade="D9"/>
          </w:tcPr>
          <w:p w14:paraId="6814B828" w14:textId="77777777" w:rsidR="00044CE5" w:rsidRDefault="00044CE5" w:rsidP="00C26119">
            <w:pPr>
              <w:rPr>
                <w:sz w:val="24"/>
                <w:szCs w:val="24"/>
              </w:rPr>
            </w:pPr>
          </w:p>
        </w:tc>
        <w:tc>
          <w:tcPr>
            <w:tcW w:w="1486" w:type="dxa"/>
            <w:gridSpan w:val="2"/>
          </w:tcPr>
          <w:p w14:paraId="7DE9B35D" w14:textId="77777777" w:rsidR="00044CE5" w:rsidRPr="008B5CEE" w:rsidRDefault="00044CE5" w:rsidP="00044CE5">
            <w:pPr>
              <w:rPr>
                <w:i/>
              </w:rPr>
            </w:pPr>
            <w:r w:rsidRPr="00044CE5">
              <w:rPr>
                <w:i/>
              </w:rPr>
              <w:t>Procurement</w:t>
            </w:r>
          </w:p>
        </w:tc>
        <w:tc>
          <w:tcPr>
            <w:tcW w:w="1486" w:type="dxa"/>
            <w:gridSpan w:val="2"/>
          </w:tcPr>
          <w:p w14:paraId="0992F904" w14:textId="77777777" w:rsidR="00044CE5" w:rsidRPr="008B5CEE" w:rsidRDefault="00044CE5" w:rsidP="00044CE5">
            <w:pPr>
              <w:rPr>
                <w:i/>
              </w:rPr>
            </w:pPr>
          </w:p>
        </w:tc>
      </w:tr>
      <w:tr w:rsidR="00044CE5" w:rsidRPr="00097D93" w14:paraId="6187408A" w14:textId="77777777" w:rsidTr="00044CE5">
        <w:trPr>
          <w:trHeight w:val="597"/>
        </w:trPr>
        <w:tc>
          <w:tcPr>
            <w:tcW w:w="1763" w:type="dxa"/>
            <w:vMerge/>
            <w:shd w:val="clear" w:color="auto" w:fill="D9D9D9" w:themeFill="background1" w:themeFillShade="D9"/>
          </w:tcPr>
          <w:p w14:paraId="33C72D4F" w14:textId="77777777" w:rsidR="00044CE5" w:rsidRPr="009F3B26" w:rsidRDefault="00044CE5" w:rsidP="00C26119"/>
        </w:tc>
        <w:tc>
          <w:tcPr>
            <w:tcW w:w="2873" w:type="dxa"/>
            <w:gridSpan w:val="2"/>
            <w:vMerge/>
          </w:tcPr>
          <w:p w14:paraId="7B21FFCB" w14:textId="77777777" w:rsidR="00044CE5" w:rsidRDefault="00044CE5" w:rsidP="00C26119">
            <w:pPr>
              <w:rPr>
                <w:i/>
              </w:rPr>
            </w:pPr>
          </w:p>
        </w:tc>
        <w:tc>
          <w:tcPr>
            <w:tcW w:w="1634" w:type="dxa"/>
            <w:vMerge/>
            <w:shd w:val="clear" w:color="auto" w:fill="D9D9D9" w:themeFill="background1" w:themeFillShade="D9"/>
          </w:tcPr>
          <w:p w14:paraId="625F159E" w14:textId="77777777" w:rsidR="00044CE5" w:rsidRDefault="00044CE5" w:rsidP="00C26119">
            <w:pPr>
              <w:rPr>
                <w:sz w:val="24"/>
                <w:szCs w:val="24"/>
              </w:rPr>
            </w:pPr>
          </w:p>
        </w:tc>
        <w:tc>
          <w:tcPr>
            <w:tcW w:w="1486" w:type="dxa"/>
            <w:gridSpan w:val="2"/>
          </w:tcPr>
          <w:p w14:paraId="74CD2670" w14:textId="77777777" w:rsidR="00044CE5" w:rsidRDefault="00044CE5" w:rsidP="00044CE5">
            <w:pPr>
              <w:rPr>
                <w:i/>
              </w:rPr>
            </w:pPr>
            <w:r w:rsidRPr="00044CE5">
              <w:rPr>
                <w:i/>
              </w:rPr>
              <w:t>Impleme</w:t>
            </w:r>
            <w:r>
              <w:rPr>
                <w:i/>
              </w:rPr>
              <w:t>nt Package Solution</w:t>
            </w:r>
          </w:p>
        </w:tc>
        <w:tc>
          <w:tcPr>
            <w:tcW w:w="1486" w:type="dxa"/>
            <w:gridSpan w:val="2"/>
          </w:tcPr>
          <w:p w14:paraId="7D4880EF" w14:textId="77777777" w:rsidR="00044CE5" w:rsidRPr="008B5CEE" w:rsidRDefault="00044CE5" w:rsidP="00044CE5">
            <w:pPr>
              <w:rPr>
                <w:i/>
              </w:rPr>
            </w:pPr>
          </w:p>
        </w:tc>
      </w:tr>
      <w:tr w:rsidR="000D528D" w:rsidRPr="00097D93" w14:paraId="2FA47470" w14:textId="77777777" w:rsidTr="00044CE5">
        <w:tc>
          <w:tcPr>
            <w:tcW w:w="1763" w:type="dxa"/>
            <w:shd w:val="clear" w:color="auto" w:fill="D9D9D9" w:themeFill="background1" w:themeFillShade="D9"/>
          </w:tcPr>
          <w:p w14:paraId="1CC3E7BE" w14:textId="77777777" w:rsidR="000D528D" w:rsidRPr="009F3B26" w:rsidRDefault="000D528D" w:rsidP="00C26119">
            <w:r>
              <w:t>Estimated IS Apps Days</w:t>
            </w:r>
            <w:r w:rsidR="00044CE5">
              <w:t xml:space="preserve"> </w:t>
            </w:r>
            <w:r w:rsidR="00044CE5">
              <w:br/>
              <w:t>(see additional guidance*)</w:t>
            </w:r>
          </w:p>
        </w:tc>
        <w:tc>
          <w:tcPr>
            <w:tcW w:w="2873" w:type="dxa"/>
            <w:gridSpan w:val="2"/>
          </w:tcPr>
          <w:p w14:paraId="229E364C" w14:textId="17418772" w:rsidR="000D528D" w:rsidRDefault="00C21D2E" w:rsidP="00C26119">
            <w:pPr>
              <w:rPr>
                <w:i/>
              </w:rPr>
            </w:pPr>
            <w:r>
              <w:rPr>
                <w:i/>
              </w:rPr>
              <w:t>S</w:t>
            </w:r>
          </w:p>
        </w:tc>
        <w:tc>
          <w:tcPr>
            <w:tcW w:w="1634" w:type="dxa"/>
            <w:shd w:val="clear" w:color="auto" w:fill="D9D9D9" w:themeFill="background1" w:themeFillShade="D9"/>
          </w:tcPr>
          <w:p w14:paraId="2A95C605" w14:textId="77777777" w:rsidR="000D528D" w:rsidRDefault="000D528D" w:rsidP="00C26119">
            <w:pPr>
              <w:rPr>
                <w:sz w:val="24"/>
                <w:szCs w:val="24"/>
              </w:rPr>
            </w:pPr>
            <w:r>
              <w:rPr>
                <w:sz w:val="24"/>
                <w:szCs w:val="24"/>
              </w:rPr>
              <w:t>Estimated Business Partner Days</w:t>
            </w:r>
          </w:p>
        </w:tc>
        <w:tc>
          <w:tcPr>
            <w:tcW w:w="2972" w:type="dxa"/>
            <w:gridSpan w:val="4"/>
          </w:tcPr>
          <w:p w14:paraId="4EDA8170" w14:textId="50A10C63" w:rsidR="000D528D" w:rsidRDefault="00027FFC" w:rsidP="00C26119">
            <w:pPr>
              <w:rPr>
                <w:i/>
              </w:rPr>
            </w:pPr>
            <w:r>
              <w:rPr>
                <w:i/>
              </w:rPr>
              <w:t>S</w:t>
            </w:r>
          </w:p>
        </w:tc>
      </w:tr>
      <w:tr w:rsidR="009F3B26" w:rsidRPr="00097D93" w14:paraId="033953DD" w14:textId="77777777" w:rsidTr="00044CE5">
        <w:tc>
          <w:tcPr>
            <w:tcW w:w="1763" w:type="dxa"/>
            <w:shd w:val="clear" w:color="auto" w:fill="D9D9D9" w:themeFill="background1" w:themeFillShade="D9"/>
          </w:tcPr>
          <w:p w14:paraId="5313C2DB" w14:textId="77777777" w:rsidR="009F3B26" w:rsidRDefault="000D528D" w:rsidP="00C26119">
            <w:pPr>
              <w:rPr>
                <w:sz w:val="24"/>
                <w:szCs w:val="24"/>
              </w:rPr>
            </w:pPr>
            <w:r>
              <w:rPr>
                <w:sz w:val="24"/>
                <w:szCs w:val="24"/>
              </w:rPr>
              <w:t>Estimation References</w:t>
            </w:r>
          </w:p>
        </w:tc>
        <w:tc>
          <w:tcPr>
            <w:tcW w:w="7479" w:type="dxa"/>
            <w:gridSpan w:val="7"/>
          </w:tcPr>
          <w:p w14:paraId="27A51592" w14:textId="33CE98C1" w:rsidR="009C27AB" w:rsidRPr="009C27AB" w:rsidRDefault="00016986" w:rsidP="009C27AB">
            <w:pPr>
              <w:rPr>
                <w:i/>
              </w:rPr>
            </w:pPr>
            <w:proofErr w:type="spellStart"/>
            <w:r>
              <w:rPr>
                <w:i/>
              </w:rPr>
              <w:t>Dev</w:t>
            </w:r>
            <w:proofErr w:type="spellEnd"/>
            <w:r>
              <w:rPr>
                <w:i/>
              </w:rPr>
              <w:t>: Should be small.</w:t>
            </w:r>
          </w:p>
        </w:tc>
      </w:tr>
    </w:tbl>
    <w:p w14:paraId="4953063F" w14:textId="77777777" w:rsidR="008B5CEE" w:rsidRDefault="008B5CEE"/>
    <w:p w14:paraId="11238B3D" w14:textId="77777777" w:rsidR="0005231F" w:rsidRPr="00C63351" w:rsidRDefault="001B4393" w:rsidP="000D528D">
      <w:pPr>
        <w:rPr>
          <w:rFonts w:asciiTheme="majorHAnsi" w:hAnsiTheme="majorHAnsi"/>
          <w:b/>
          <w:color w:val="0070C0"/>
          <w:sz w:val="26"/>
          <w:szCs w:val="26"/>
        </w:rPr>
      </w:pPr>
      <w:r w:rsidRPr="00C63351">
        <w:rPr>
          <w:rFonts w:asciiTheme="majorHAnsi" w:hAnsiTheme="majorHAnsi"/>
          <w:b/>
          <w:color w:val="0070C0"/>
          <w:sz w:val="26"/>
          <w:szCs w:val="26"/>
        </w:rPr>
        <w:t>*</w:t>
      </w:r>
      <w:r w:rsidR="0005231F" w:rsidRPr="00C63351">
        <w:rPr>
          <w:rFonts w:asciiTheme="majorHAnsi" w:hAnsiTheme="majorHAnsi"/>
          <w:b/>
          <w:color w:val="0070C0"/>
          <w:sz w:val="26"/>
          <w:szCs w:val="26"/>
        </w:rPr>
        <w:t>Estimation Process</w:t>
      </w:r>
      <w:r w:rsidR="0076682F" w:rsidRPr="00C63351">
        <w:rPr>
          <w:rFonts w:asciiTheme="majorHAnsi" w:hAnsiTheme="majorHAnsi"/>
          <w:b/>
          <w:color w:val="0070C0"/>
          <w:sz w:val="26"/>
          <w:szCs w:val="26"/>
        </w:rPr>
        <w:t xml:space="preserve"> – Additional Guidance</w:t>
      </w:r>
      <w:r w:rsidR="0005231F" w:rsidRPr="00C63351">
        <w:rPr>
          <w:rFonts w:asciiTheme="majorHAnsi" w:hAnsiTheme="majorHAnsi"/>
          <w:b/>
          <w:color w:val="0070C0"/>
          <w:sz w:val="26"/>
          <w:szCs w:val="26"/>
        </w:rPr>
        <w:t>:</w:t>
      </w:r>
    </w:p>
    <w:p w14:paraId="1BA1604E" w14:textId="77777777" w:rsidR="001B4393" w:rsidRPr="00096F08" w:rsidRDefault="001B4393" w:rsidP="00096F08">
      <w:pPr>
        <w:rPr>
          <w:sz w:val="24"/>
          <w:szCs w:val="24"/>
        </w:rPr>
      </w:pPr>
      <w:r w:rsidRPr="00096F08">
        <w:rPr>
          <w:sz w:val="24"/>
          <w:szCs w:val="24"/>
        </w:rPr>
        <w:t>For 1</w:t>
      </w:r>
      <w:r w:rsidRPr="00096F08">
        <w:rPr>
          <w:sz w:val="24"/>
          <w:szCs w:val="24"/>
          <w:vertAlign w:val="superscript"/>
        </w:rPr>
        <w:t>st</w:t>
      </w:r>
      <w:r w:rsidRPr="00096F08">
        <w:rPr>
          <w:sz w:val="24"/>
          <w:szCs w:val="24"/>
        </w:rPr>
        <w:t xml:space="preserve"> stage/iteration of Red Line, the following</w:t>
      </w:r>
      <w:r w:rsidR="00C63351">
        <w:rPr>
          <w:sz w:val="24"/>
          <w:szCs w:val="24"/>
        </w:rPr>
        <w:t xml:space="preserve"> standard estimation categorisations will be used</w:t>
      </w:r>
      <w:r w:rsidRPr="00096F08">
        <w:rPr>
          <w:sz w:val="24"/>
          <w:szCs w:val="24"/>
        </w:rPr>
        <w:t xml:space="preserve">, </w:t>
      </w:r>
    </w:p>
    <w:p w14:paraId="18F84C35" w14:textId="77777777" w:rsidR="001B4393" w:rsidRPr="00096F08" w:rsidRDefault="001B4393" w:rsidP="00096F08">
      <w:pPr>
        <w:pStyle w:val="ListParagraph"/>
        <w:numPr>
          <w:ilvl w:val="0"/>
          <w:numId w:val="3"/>
        </w:numPr>
        <w:rPr>
          <w:sz w:val="24"/>
          <w:szCs w:val="24"/>
        </w:rPr>
      </w:pPr>
      <w:r w:rsidRPr="00096F08">
        <w:rPr>
          <w:sz w:val="24"/>
          <w:szCs w:val="24"/>
        </w:rPr>
        <w:t>Small – 50 days</w:t>
      </w:r>
    </w:p>
    <w:p w14:paraId="089045C1" w14:textId="77777777" w:rsidR="001B4393" w:rsidRPr="00096F08" w:rsidRDefault="001B4393" w:rsidP="00096F08">
      <w:pPr>
        <w:pStyle w:val="ListParagraph"/>
        <w:numPr>
          <w:ilvl w:val="0"/>
          <w:numId w:val="3"/>
        </w:numPr>
        <w:rPr>
          <w:sz w:val="24"/>
          <w:szCs w:val="24"/>
        </w:rPr>
      </w:pPr>
      <w:r w:rsidRPr="00096F08">
        <w:rPr>
          <w:sz w:val="24"/>
          <w:szCs w:val="24"/>
        </w:rPr>
        <w:t xml:space="preserve">Medium – 120 days </w:t>
      </w:r>
    </w:p>
    <w:p w14:paraId="21D0AEF1" w14:textId="77777777" w:rsidR="001B4393" w:rsidRPr="00096F08" w:rsidRDefault="001B4393" w:rsidP="00096F08">
      <w:pPr>
        <w:pStyle w:val="ListParagraph"/>
        <w:numPr>
          <w:ilvl w:val="0"/>
          <w:numId w:val="3"/>
        </w:numPr>
        <w:rPr>
          <w:sz w:val="24"/>
          <w:szCs w:val="24"/>
        </w:rPr>
      </w:pPr>
      <w:r w:rsidRPr="00096F08">
        <w:rPr>
          <w:sz w:val="24"/>
          <w:szCs w:val="24"/>
        </w:rPr>
        <w:t xml:space="preserve">Large – 250 days </w:t>
      </w:r>
    </w:p>
    <w:p w14:paraId="5DD4255F" w14:textId="77777777" w:rsidR="001B4393" w:rsidRPr="00096F08" w:rsidRDefault="001B4393" w:rsidP="00096F08">
      <w:pPr>
        <w:pStyle w:val="ListParagraph"/>
        <w:numPr>
          <w:ilvl w:val="0"/>
          <w:numId w:val="3"/>
        </w:numPr>
        <w:rPr>
          <w:sz w:val="24"/>
          <w:szCs w:val="24"/>
        </w:rPr>
      </w:pPr>
      <w:r w:rsidRPr="00096F08">
        <w:rPr>
          <w:sz w:val="24"/>
          <w:szCs w:val="24"/>
        </w:rPr>
        <w:t xml:space="preserve">Extra Large – 500 days </w:t>
      </w:r>
    </w:p>
    <w:p w14:paraId="2EAA94D7" w14:textId="77777777" w:rsidR="002F0A4F" w:rsidRDefault="002F0A4F" w:rsidP="0005231F"/>
    <w:p w14:paraId="611CC216" w14:textId="77777777" w:rsidR="000D528D" w:rsidRDefault="000D528D" w:rsidP="000D528D">
      <w:r>
        <w:tab/>
      </w:r>
      <w:r>
        <w:tab/>
      </w:r>
      <w:r>
        <w:tab/>
      </w:r>
      <w:r>
        <w:tab/>
      </w:r>
      <w:r>
        <w:tab/>
      </w:r>
    </w:p>
    <w:p w14:paraId="274EB8DC" w14:textId="77777777" w:rsidR="000D528D" w:rsidRDefault="000D528D" w:rsidP="000D528D">
      <w:r>
        <w:tab/>
      </w:r>
      <w:r>
        <w:tab/>
      </w:r>
      <w:r>
        <w:tab/>
      </w:r>
      <w:r>
        <w:tab/>
      </w:r>
      <w:r>
        <w:tab/>
      </w:r>
    </w:p>
    <w:p w14:paraId="121694DC" w14:textId="77777777" w:rsidR="000D528D" w:rsidRDefault="000D528D" w:rsidP="000D528D">
      <w:r>
        <w:tab/>
      </w:r>
      <w:r>
        <w:tab/>
      </w:r>
      <w:r>
        <w:tab/>
      </w:r>
      <w:r>
        <w:tab/>
      </w:r>
      <w:r>
        <w:tab/>
      </w:r>
    </w:p>
    <w:p w14:paraId="07597399" w14:textId="77777777" w:rsidR="000D528D" w:rsidRDefault="000D528D" w:rsidP="000D528D">
      <w:r>
        <w:tab/>
      </w:r>
      <w:r>
        <w:tab/>
      </w:r>
      <w:r>
        <w:tab/>
      </w:r>
      <w:r>
        <w:tab/>
      </w:r>
      <w:r>
        <w:tab/>
      </w:r>
    </w:p>
    <w:p w14:paraId="0DB4667D" w14:textId="77777777" w:rsidR="000D528D" w:rsidRDefault="000D528D" w:rsidP="000D528D">
      <w:r>
        <w:tab/>
      </w:r>
      <w:r>
        <w:tab/>
      </w:r>
      <w:r>
        <w:tab/>
      </w:r>
      <w:r>
        <w:tab/>
      </w:r>
      <w:r>
        <w:tab/>
      </w:r>
    </w:p>
    <w:p w14:paraId="5CCC7BD6" w14:textId="77777777" w:rsidR="000D528D" w:rsidRDefault="000D528D" w:rsidP="000D528D">
      <w:r>
        <w:tab/>
      </w:r>
      <w:r>
        <w:tab/>
      </w:r>
      <w:r>
        <w:tab/>
      </w:r>
      <w:r>
        <w:tab/>
      </w:r>
      <w:r>
        <w:tab/>
      </w:r>
    </w:p>
    <w:p w14:paraId="2BB7A3F3" w14:textId="77777777" w:rsidR="000D528D" w:rsidRDefault="000D528D" w:rsidP="000D528D">
      <w:r>
        <w:tab/>
      </w:r>
      <w:r>
        <w:tab/>
      </w:r>
      <w:r>
        <w:tab/>
      </w:r>
      <w:r>
        <w:tab/>
      </w:r>
      <w:r>
        <w:tab/>
      </w:r>
    </w:p>
    <w:p w14:paraId="3F1967A3" w14:textId="77777777" w:rsidR="008B5CEE" w:rsidRDefault="000D528D" w:rsidP="000D528D">
      <w:r>
        <w:tab/>
      </w:r>
      <w:r>
        <w:tab/>
      </w:r>
      <w:r>
        <w:tab/>
      </w:r>
      <w:r>
        <w:tab/>
      </w:r>
      <w:r>
        <w:tab/>
      </w:r>
    </w:p>
    <w:sectPr w:rsidR="008B5CEE" w:rsidSect="00096F08">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001"/>
    <w:multiLevelType w:val="hybridMultilevel"/>
    <w:tmpl w:val="80F47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796E26"/>
    <w:multiLevelType w:val="hybridMultilevel"/>
    <w:tmpl w:val="E9782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D8758C"/>
    <w:multiLevelType w:val="hybridMultilevel"/>
    <w:tmpl w:val="B2F2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F151F3"/>
    <w:multiLevelType w:val="hybridMultilevel"/>
    <w:tmpl w:val="59B29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93"/>
    <w:rsid w:val="00016986"/>
    <w:rsid w:val="00027FFC"/>
    <w:rsid w:val="00044827"/>
    <w:rsid w:val="00044CE5"/>
    <w:rsid w:val="0005231F"/>
    <w:rsid w:val="00096F08"/>
    <w:rsid w:val="00097D93"/>
    <w:rsid w:val="000A58CD"/>
    <w:rsid w:val="000D528D"/>
    <w:rsid w:val="000D76AE"/>
    <w:rsid w:val="000E3F5D"/>
    <w:rsid w:val="001B4393"/>
    <w:rsid w:val="001C4D80"/>
    <w:rsid w:val="002069EF"/>
    <w:rsid w:val="00270B09"/>
    <w:rsid w:val="00275956"/>
    <w:rsid w:val="002F0A4F"/>
    <w:rsid w:val="0030391E"/>
    <w:rsid w:val="00357690"/>
    <w:rsid w:val="00521FA7"/>
    <w:rsid w:val="005838E1"/>
    <w:rsid w:val="005D0AFD"/>
    <w:rsid w:val="006C5F92"/>
    <w:rsid w:val="006E6B07"/>
    <w:rsid w:val="0076682F"/>
    <w:rsid w:val="007E0A75"/>
    <w:rsid w:val="008B5CEE"/>
    <w:rsid w:val="008E4330"/>
    <w:rsid w:val="00926955"/>
    <w:rsid w:val="0097066C"/>
    <w:rsid w:val="009C27AB"/>
    <w:rsid w:val="009F3B26"/>
    <w:rsid w:val="00A11DD6"/>
    <w:rsid w:val="00AC62C3"/>
    <w:rsid w:val="00B47876"/>
    <w:rsid w:val="00C21D2E"/>
    <w:rsid w:val="00C26119"/>
    <w:rsid w:val="00C63351"/>
    <w:rsid w:val="00CE1E49"/>
    <w:rsid w:val="00CF4FEA"/>
    <w:rsid w:val="00E466DA"/>
    <w:rsid w:val="00FC66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9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5C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5CEE"/>
    <w:rPr>
      <w:rFonts w:asciiTheme="majorHAnsi" w:eastAsiaTheme="majorEastAsia" w:hAnsiTheme="majorHAnsi" w:cstheme="majorBidi"/>
      <w:b/>
      <w:bCs/>
      <w:color w:val="365F91" w:themeColor="accent1" w:themeShade="BF"/>
      <w:sz w:val="28"/>
      <w:szCs w:val="28"/>
    </w:rPr>
  </w:style>
  <w:style w:type="character" w:customStyle="1" w:styleId="style6">
    <w:name w:val="style6"/>
    <w:basedOn w:val="DefaultParagraphFont"/>
    <w:rsid w:val="008B5CEE"/>
  </w:style>
  <w:style w:type="paragraph" w:customStyle="1" w:styleId="style61">
    <w:name w:val="style61"/>
    <w:basedOn w:val="Normal"/>
    <w:rsid w:val="008B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528D"/>
    <w:pPr>
      <w:ind w:left="720"/>
      <w:contextualSpacing/>
    </w:pPr>
  </w:style>
  <w:style w:type="paragraph" w:styleId="BalloonText">
    <w:name w:val="Balloon Text"/>
    <w:basedOn w:val="Normal"/>
    <w:link w:val="BalloonTextChar"/>
    <w:uiPriority w:val="99"/>
    <w:semiHidden/>
    <w:unhideWhenUsed/>
    <w:rsid w:val="0097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C"/>
    <w:rPr>
      <w:rFonts w:ascii="Tahoma" w:hAnsi="Tahoma" w:cs="Tahoma"/>
      <w:sz w:val="16"/>
      <w:szCs w:val="16"/>
    </w:rPr>
  </w:style>
  <w:style w:type="character" w:styleId="CommentReference">
    <w:name w:val="annotation reference"/>
    <w:basedOn w:val="DefaultParagraphFont"/>
    <w:uiPriority w:val="99"/>
    <w:semiHidden/>
    <w:unhideWhenUsed/>
    <w:rsid w:val="0097066C"/>
    <w:rPr>
      <w:sz w:val="16"/>
      <w:szCs w:val="16"/>
    </w:rPr>
  </w:style>
  <w:style w:type="paragraph" w:styleId="CommentText">
    <w:name w:val="annotation text"/>
    <w:basedOn w:val="Normal"/>
    <w:link w:val="CommentTextChar"/>
    <w:uiPriority w:val="99"/>
    <w:semiHidden/>
    <w:unhideWhenUsed/>
    <w:rsid w:val="0097066C"/>
    <w:pPr>
      <w:spacing w:line="240" w:lineRule="auto"/>
    </w:pPr>
    <w:rPr>
      <w:sz w:val="20"/>
      <w:szCs w:val="20"/>
    </w:rPr>
  </w:style>
  <w:style w:type="character" w:customStyle="1" w:styleId="CommentTextChar">
    <w:name w:val="Comment Text Char"/>
    <w:basedOn w:val="DefaultParagraphFont"/>
    <w:link w:val="CommentText"/>
    <w:uiPriority w:val="99"/>
    <w:semiHidden/>
    <w:rsid w:val="0097066C"/>
    <w:rPr>
      <w:sz w:val="20"/>
      <w:szCs w:val="20"/>
    </w:rPr>
  </w:style>
  <w:style w:type="paragraph" w:styleId="CommentSubject">
    <w:name w:val="annotation subject"/>
    <w:basedOn w:val="CommentText"/>
    <w:next w:val="CommentText"/>
    <w:link w:val="CommentSubjectChar"/>
    <w:uiPriority w:val="99"/>
    <w:semiHidden/>
    <w:unhideWhenUsed/>
    <w:rsid w:val="0097066C"/>
    <w:rPr>
      <w:b/>
      <w:bCs/>
    </w:rPr>
  </w:style>
  <w:style w:type="character" w:customStyle="1" w:styleId="CommentSubjectChar">
    <w:name w:val="Comment Subject Char"/>
    <w:basedOn w:val="CommentTextChar"/>
    <w:link w:val="CommentSubject"/>
    <w:uiPriority w:val="99"/>
    <w:semiHidden/>
    <w:rsid w:val="009706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5C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5CEE"/>
    <w:rPr>
      <w:rFonts w:asciiTheme="majorHAnsi" w:eastAsiaTheme="majorEastAsia" w:hAnsiTheme="majorHAnsi" w:cstheme="majorBidi"/>
      <w:b/>
      <w:bCs/>
      <w:color w:val="365F91" w:themeColor="accent1" w:themeShade="BF"/>
      <w:sz w:val="28"/>
      <w:szCs w:val="28"/>
    </w:rPr>
  </w:style>
  <w:style w:type="character" w:customStyle="1" w:styleId="style6">
    <w:name w:val="style6"/>
    <w:basedOn w:val="DefaultParagraphFont"/>
    <w:rsid w:val="008B5CEE"/>
  </w:style>
  <w:style w:type="paragraph" w:customStyle="1" w:styleId="style61">
    <w:name w:val="style61"/>
    <w:basedOn w:val="Normal"/>
    <w:rsid w:val="008B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528D"/>
    <w:pPr>
      <w:ind w:left="720"/>
      <w:contextualSpacing/>
    </w:pPr>
  </w:style>
  <w:style w:type="paragraph" w:styleId="BalloonText">
    <w:name w:val="Balloon Text"/>
    <w:basedOn w:val="Normal"/>
    <w:link w:val="BalloonTextChar"/>
    <w:uiPriority w:val="99"/>
    <w:semiHidden/>
    <w:unhideWhenUsed/>
    <w:rsid w:val="0097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C"/>
    <w:rPr>
      <w:rFonts w:ascii="Tahoma" w:hAnsi="Tahoma" w:cs="Tahoma"/>
      <w:sz w:val="16"/>
      <w:szCs w:val="16"/>
    </w:rPr>
  </w:style>
  <w:style w:type="character" w:styleId="CommentReference">
    <w:name w:val="annotation reference"/>
    <w:basedOn w:val="DefaultParagraphFont"/>
    <w:uiPriority w:val="99"/>
    <w:semiHidden/>
    <w:unhideWhenUsed/>
    <w:rsid w:val="0097066C"/>
    <w:rPr>
      <w:sz w:val="16"/>
      <w:szCs w:val="16"/>
    </w:rPr>
  </w:style>
  <w:style w:type="paragraph" w:styleId="CommentText">
    <w:name w:val="annotation text"/>
    <w:basedOn w:val="Normal"/>
    <w:link w:val="CommentTextChar"/>
    <w:uiPriority w:val="99"/>
    <w:semiHidden/>
    <w:unhideWhenUsed/>
    <w:rsid w:val="0097066C"/>
    <w:pPr>
      <w:spacing w:line="240" w:lineRule="auto"/>
    </w:pPr>
    <w:rPr>
      <w:sz w:val="20"/>
      <w:szCs w:val="20"/>
    </w:rPr>
  </w:style>
  <w:style w:type="character" w:customStyle="1" w:styleId="CommentTextChar">
    <w:name w:val="Comment Text Char"/>
    <w:basedOn w:val="DefaultParagraphFont"/>
    <w:link w:val="CommentText"/>
    <w:uiPriority w:val="99"/>
    <w:semiHidden/>
    <w:rsid w:val="0097066C"/>
    <w:rPr>
      <w:sz w:val="20"/>
      <w:szCs w:val="20"/>
    </w:rPr>
  </w:style>
  <w:style w:type="paragraph" w:styleId="CommentSubject">
    <w:name w:val="annotation subject"/>
    <w:basedOn w:val="CommentText"/>
    <w:next w:val="CommentText"/>
    <w:link w:val="CommentSubjectChar"/>
    <w:uiPriority w:val="99"/>
    <w:semiHidden/>
    <w:unhideWhenUsed/>
    <w:rsid w:val="0097066C"/>
    <w:rPr>
      <w:b/>
      <w:bCs/>
    </w:rPr>
  </w:style>
  <w:style w:type="character" w:customStyle="1" w:styleId="CommentSubjectChar">
    <w:name w:val="Comment Subject Char"/>
    <w:basedOn w:val="CommentTextChar"/>
    <w:link w:val="CommentSubject"/>
    <w:uiPriority w:val="99"/>
    <w:semiHidden/>
    <w:rsid w:val="009706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B4B7-0248-4882-A02C-0CB2DD3E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Mark</dc:creator>
  <cp:lastModifiedBy>STEWART Andrew</cp:lastModifiedBy>
  <cp:revision>3</cp:revision>
  <dcterms:created xsi:type="dcterms:W3CDTF">2012-11-28T08:44:00Z</dcterms:created>
  <dcterms:modified xsi:type="dcterms:W3CDTF">2012-11-28T08:57:00Z</dcterms:modified>
</cp:coreProperties>
</file>