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42DA85" w14:textId="1BA2BED5" w:rsidR="00133167" w:rsidRPr="005A2659" w:rsidRDefault="005F6399" w:rsidP="00133167">
      <w:pPr>
        <w:pStyle w:val="Heading1"/>
        <w:rPr>
          <w:rFonts w:asciiTheme="minorHAnsi" w:hAnsiTheme="minorHAnsi"/>
        </w:rPr>
      </w:pPr>
      <w:r w:rsidRPr="005A2659">
        <w:rPr>
          <w:rFonts w:asciiTheme="minorHAnsi" w:hAnsiTheme="minorHAnsi"/>
        </w:rPr>
        <w:t>INFRASTRUCTURE</w:t>
      </w:r>
    </w:p>
    <w:tbl>
      <w:tblPr>
        <w:tblStyle w:val="LightShading-Accent1"/>
        <w:tblW w:w="0" w:type="auto"/>
        <w:tblLook w:val="0400" w:firstRow="0" w:lastRow="0" w:firstColumn="0" w:lastColumn="0" w:noHBand="0" w:noVBand="1"/>
      </w:tblPr>
      <w:tblGrid>
        <w:gridCol w:w="6629"/>
        <w:gridCol w:w="709"/>
      </w:tblGrid>
      <w:tr w:rsidR="007425D6" w:rsidRPr="005A2659" w14:paraId="53CE6F2F" w14:textId="77777777" w:rsidTr="00A01D3B">
        <w:trPr>
          <w:cnfStyle w:val="000000100000" w:firstRow="0" w:lastRow="0" w:firstColumn="0" w:lastColumn="0" w:oddVBand="0" w:evenVBand="0" w:oddHBand="1" w:evenHBand="0" w:firstRowFirstColumn="0" w:firstRowLastColumn="0" w:lastRowFirstColumn="0" w:lastRowLastColumn="0"/>
        </w:trPr>
        <w:tc>
          <w:tcPr>
            <w:tcW w:w="6629" w:type="dxa"/>
            <w:tcBorders>
              <w:top w:val="single" w:sz="8" w:space="0" w:color="4F81BD" w:themeColor="accent1"/>
              <w:bottom w:val="nil"/>
            </w:tcBorders>
            <w:hideMark/>
          </w:tcPr>
          <w:p w14:paraId="7B7B6AAA" w14:textId="77777777" w:rsidR="007425D6" w:rsidRPr="005A2659" w:rsidRDefault="007425D6" w:rsidP="00A01D3B">
            <w:pPr>
              <w:rPr>
                <w:rFonts w:asciiTheme="minorHAnsi" w:hAnsiTheme="minorHAnsi"/>
              </w:rPr>
            </w:pPr>
            <w:r w:rsidRPr="005A2659">
              <w:rPr>
                <w:rFonts w:asciiTheme="minorHAnsi" w:hAnsiTheme="minorHAnsi"/>
              </w:rPr>
              <w:t>Programme Budget (Start of Year)</w:t>
            </w:r>
          </w:p>
        </w:tc>
        <w:tc>
          <w:tcPr>
            <w:tcW w:w="709" w:type="dxa"/>
            <w:tcBorders>
              <w:top w:val="single" w:sz="8" w:space="0" w:color="4F81BD" w:themeColor="accent1"/>
              <w:bottom w:val="nil"/>
            </w:tcBorders>
            <w:hideMark/>
          </w:tcPr>
          <w:p w14:paraId="48B7F212" w14:textId="31DEBD31" w:rsidR="007425D6" w:rsidRPr="005A2659" w:rsidRDefault="005F6399" w:rsidP="00A01D3B">
            <w:pPr>
              <w:jc w:val="center"/>
              <w:rPr>
                <w:rFonts w:asciiTheme="minorHAnsi" w:hAnsiTheme="minorHAnsi"/>
              </w:rPr>
            </w:pPr>
            <w:r w:rsidRPr="005A2659">
              <w:rPr>
                <w:rFonts w:asciiTheme="minorHAnsi" w:hAnsiTheme="minorHAnsi"/>
              </w:rPr>
              <w:t>652</w:t>
            </w:r>
          </w:p>
        </w:tc>
      </w:tr>
      <w:tr w:rsidR="007425D6" w:rsidRPr="005A2659" w14:paraId="27064008" w14:textId="77777777" w:rsidTr="00A01D3B">
        <w:tc>
          <w:tcPr>
            <w:tcW w:w="6629" w:type="dxa"/>
            <w:tcBorders>
              <w:top w:val="nil"/>
              <w:left w:val="nil"/>
              <w:bottom w:val="nil"/>
              <w:right w:val="nil"/>
            </w:tcBorders>
            <w:hideMark/>
          </w:tcPr>
          <w:p w14:paraId="318C4554" w14:textId="77777777" w:rsidR="007425D6" w:rsidRPr="005A2659" w:rsidRDefault="007425D6" w:rsidP="00A01D3B">
            <w:pPr>
              <w:rPr>
                <w:rFonts w:asciiTheme="minorHAnsi" w:hAnsiTheme="minorHAnsi"/>
              </w:rPr>
            </w:pPr>
            <w:r w:rsidRPr="005A2659">
              <w:rPr>
                <w:rFonts w:asciiTheme="minorHAnsi" w:hAnsiTheme="minorHAnsi"/>
              </w:rPr>
              <w:t>Project Days Delivered</w:t>
            </w:r>
          </w:p>
        </w:tc>
        <w:tc>
          <w:tcPr>
            <w:tcW w:w="709" w:type="dxa"/>
            <w:tcBorders>
              <w:top w:val="nil"/>
              <w:left w:val="nil"/>
              <w:bottom w:val="nil"/>
              <w:right w:val="nil"/>
            </w:tcBorders>
            <w:hideMark/>
          </w:tcPr>
          <w:p w14:paraId="6D4C6687" w14:textId="5907E50E" w:rsidR="007425D6" w:rsidRPr="005A2659" w:rsidRDefault="005F6399" w:rsidP="00A01D3B">
            <w:pPr>
              <w:jc w:val="center"/>
              <w:rPr>
                <w:rFonts w:asciiTheme="minorHAnsi" w:hAnsiTheme="minorHAnsi"/>
              </w:rPr>
            </w:pPr>
            <w:r w:rsidRPr="005A2659">
              <w:rPr>
                <w:rFonts w:asciiTheme="minorHAnsi" w:hAnsiTheme="minorHAnsi"/>
              </w:rPr>
              <w:t>512</w:t>
            </w:r>
          </w:p>
        </w:tc>
      </w:tr>
      <w:tr w:rsidR="007425D6" w:rsidRPr="005A2659" w14:paraId="3FC858E4" w14:textId="77777777" w:rsidTr="00A01D3B">
        <w:trPr>
          <w:cnfStyle w:val="000000100000" w:firstRow="0" w:lastRow="0" w:firstColumn="0" w:lastColumn="0" w:oddVBand="0" w:evenVBand="0" w:oddHBand="1" w:evenHBand="0" w:firstRowFirstColumn="0" w:firstRowLastColumn="0" w:lastRowFirstColumn="0" w:lastRowLastColumn="0"/>
        </w:trPr>
        <w:tc>
          <w:tcPr>
            <w:tcW w:w="6629" w:type="dxa"/>
            <w:tcBorders>
              <w:top w:val="nil"/>
              <w:bottom w:val="nil"/>
            </w:tcBorders>
            <w:hideMark/>
          </w:tcPr>
          <w:p w14:paraId="35D33777" w14:textId="77777777" w:rsidR="007425D6" w:rsidRPr="005A2659" w:rsidRDefault="007425D6" w:rsidP="00A01D3B">
            <w:pPr>
              <w:rPr>
                <w:rFonts w:asciiTheme="minorHAnsi" w:hAnsiTheme="minorHAnsi"/>
              </w:rPr>
            </w:pPr>
            <w:r w:rsidRPr="005A2659">
              <w:rPr>
                <w:rFonts w:asciiTheme="minorHAnsi" w:hAnsiTheme="minorHAnsi"/>
              </w:rPr>
              <w:t>Project Days Delivered vs Budget</w:t>
            </w:r>
          </w:p>
        </w:tc>
        <w:tc>
          <w:tcPr>
            <w:tcW w:w="709" w:type="dxa"/>
            <w:tcBorders>
              <w:top w:val="nil"/>
              <w:bottom w:val="nil"/>
            </w:tcBorders>
            <w:hideMark/>
          </w:tcPr>
          <w:p w14:paraId="0303B1CB" w14:textId="72B8E096" w:rsidR="007425D6" w:rsidRPr="005A2659" w:rsidRDefault="00EC126C" w:rsidP="007425D6">
            <w:pPr>
              <w:jc w:val="center"/>
              <w:rPr>
                <w:rFonts w:asciiTheme="minorHAnsi" w:hAnsiTheme="minorHAnsi"/>
              </w:rPr>
            </w:pPr>
            <w:r w:rsidRPr="005A2659">
              <w:rPr>
                <w:rFonts w:asciiTheme="minorHAnsi" w:hAnsiTheme="minorHAnsi"/>
              </w:rPr>
              <w:t xml:space="preserve"> </w:t>
            </w:r>
            <w:r w:rsidR="005F6399" w:rsidRPr="005A2659">
              <w:rPr>
                <w:rFonts w:asciiTheme="minorHAnsi" w:hAnsiTheme="minorHAnsi"/>
              </w:rPr>
              <w:t>78</w:t>
            </w:r>
            <w:r w:rsidR="007425D6" w:rsidRPr="005A2659">
              <w:rPr>
                <w:rFonts w:asciiTheme="minorHAnsi" w:hAnsiTheme="minorHAnsi"/>
              </w:rPr>
              <w:t>%</w:t>
            </w:r>
          </w:p>
        </w:tc>
      </w:tr>
      <w:tr w:rsidR="007425D6" w:rsidRPr="005A2659" w14:paraId="392884B3" w14:textId="77777777" w:rsidTr="00A01D3B">
        <w:tc>
          <w:tcPr>
            <w:tcW w:w="6629" w:type="dxa"/>
            <w:tcBorders>
              <w:top w:val="nil"/>
              <w:left w:val="nil"/>
              <w:bottom w:val="nil"/>
              <w:right w:val="nil"/>
            </w:tcBorders>
            <w:hideMark/>
          </w:tcPr>
          <w:p w14:paraId="0406F9C0" w14:textId="77777777" w:rsidR="007425D6" w:rsidRPr="005A2659" w:rsidRDefault="007425D6" w:rsidP="00A01D3B">
            <w:pPr>
              <w:rPr>
                <w:rFonts w:asciiTheme="minorHAnsi" w:hAnsiTheme="minorHAnsi"/>
              </w:rPr>
            </w:pPr>
            <w:r w:rsidRPr="005A2659">
              <w:rPr>
                <w:rFonts w:asciiTheme="minorHAnsi" w:hAnsiTheme="minorHAnsi"/>
              </w:rPr>
              <w:t>Projects To Complete (Start of Year)</w:t>
            </w:r>
          </w:p>
        </w:tc>
        <w:tc>
          <w:tcPr>
            <w:tcW w:w="709" w:type="dxa"/>
            <w:tcBorders>
              <w:top w:val="nil"/>
              <w:left w:val="nil"/>
              <w:bottom w:val="nil"/>
              <w:right w:val="nil"/>
            </w:tcBorders>
            <w:hideMark/>
          </w:tcPr>
          <w:p w14:paraId="1AA7F9D8" w14:textId="3C15CD69" w:rsidR="007425D6" w:rsidRPr="005A2659" w:rsidRDefault="005F6399" w:rsidP="00A01D3B">
            <w:pPr>
              <w:jc w:val="center"/>
              <w:rPr>
                <w:rFonts w:asciiTheme="minorHAnsi" w:hAnsiTheme="minorHAnsi"/>
              </w:rPr>
            </w:pPr>
            <w:r w:rsidRPr="005A2659">
              <w:rPr>
                <w:rFonts w:asciiTheme="minorHAnsi" w:hAnsiTheme="minorHAnsi"/>
              </w:rPr>
              <w:t>4</w:t>
            </w:r>
          </w:p>
        </w:tc>
      </w:tr>
      <w:tr w:rsidR="007425D6" w:rsidRPr="005A2659" w14:paraId="4BE9883E" w14:textId="77777777" w:rsidTr="00A01D3B">
        <w:trPr>
          <w:cnfStyle w:val="000000100000" w:firstRow="0" w:lastRow="0" w:firstColumn="0" w:lastColumn="0" w:oddVBand="0" w:evenVBand="0" w:oddHBand="1" w:evenHBand="0" w:firstRowFirstColumn="0" w:firstRowLastColumn="0" w:lastRowFirstColumn="0" w:lastRowLastColumn="0"/>
        </w:trPr>
        <w:tc>
          <w:tcPr>
            <w:tcW w:w="6629" w:type="dxa"/>
            <w:tcBorders>
              <w:top w:val="nil"/>
              <w:bottom w:val="nil"/>
            </w:tcBorders>
            <w:hideMark/>
          </w:tcPr>
          <w:p w14:paraId="62778777" w14:textId="77777777" w:rsidR="007425D6" w:rsidRPr="005A2659" w:rsidRDefault="007425D6" w:rsidP="00A01D3B">
            <w:pPr>
              <w:rPr>
                <w:rFonts w:asciiTheme="minorHAnsi" w:hAnsiTheme="minorHAnsi"/>
              </w:rPr>
            </w:pPr>
            <w:r w:rsidRPr="005A2659">
              <w:rPr>
                <w:rFonts w:asciiTheme="minorHAnsi" w:hAnsiTheme="minorHAnsi"/>
              </w:rPr>
              <w:t>Projects Delivered</w:t>
            </w:r>
          </w:p>
        </w:tc>
        <w:tc>
          <w:tcPr>
            <w:tcW w:w="709" w:type="dxa"/>
            <w:tcBorders>
              <w:top w:val="nil"/>
              <w:bottom w:val="nil"/>
            </w:tcBorders>
            <w:hideMark/>
          </w:tcPr>
          <w:p w14:paraId="1E94C22A" w14:textId="7AAF0316" w:rsidR="007425D6" w:rsidRPr="005A2659" w:rsidRDefault="005A2659" w:rsidP="00A01D3B">
            <w:pPr>
              <w:jc w:val="center"/>
              <w:rPr>
                <w:rFonts w:asciiTheme="minorHAnsi" w:hAnsiTheme="minorHAnsi"/>
              </w:rPr>
            </w:pPr>
            <w:r>
              <w:rPr>
                <w:rFonts w:asciiTheme="minorHAnsi" w:hAnsiTheme="minorHAnsi"/>
              </w:rPr>
              <w:t>3</w:t>
            </w:r>
          </w:p>
        </w:tc>
      </w:tr>
      <w:tr w:rsidR="007425D6" w:rsidRPr="005A2659" w14:paraId="35B8513F" w14:textId="77777777" w:rsidTr="00A01D3B">
        <w:tc>
          <w:tcPr>
            <w:tcW w:w="6629" w:type="dxa"/>
            <w:tcBorders>
              <w:top w:val="nil"/>
              <w:left w:val="nil"/>
              <w:bottom w:val="nil"/>
              <w:right w:val="nil"/>
            </w:tcBorders>
            <w:hideMark/>
          </w:tcPr>
          <w:p w14:paraId="591C9B32" w14:textId="77777777" w:rsidR="007425D6" w:rsidRPr="005A2659" w:rsidRDefault="007425D6" w:rsidP="00A01D3B">
            <w:pPr>
              <w:rPr>
                <w:rFonts w:asciiTheme="minorHAnsi" w:hAnsiTheme="minorHAnsi"/>
              </w:rPr>
            </w:pPr>
            <w:r w:rsidRPr="005A2659">
              <w:rPr>
                <w:rFonts w:asciiTheme="minorHAnsi" w:hAnsiTheme="minorHAnsi"/>
              </w:rPr>
              <w:t xml:space="preserve">Projects Withdrawn </w:t>
            </w:r>
          </w:p>
        </w:tc>
        <w:tc>
          <w:tcPr>
            <w:tcW w:w="709" w:type="dxa"/>
            <w:tcBorders>
              <w:top w:val="nil"/>
              <w:left w:val="nil"/>
              <w:bottom w:val="nil"/>
              <w:right w:val="nil"/>
            </w:tcBorders>
            <w:hideMark/>
          </w:tcPr>
          <w:p w14:paraId="397AC3DA" w14:textId="46DA4B1E" w:rsidR="007425D6" w:rsidRPr="005A2659" w:rsidRDefault="005F6399" w:rsidP="00A01D3B">
            <w:pPr>
              <w:jc w:val="center"/>
              <w:rPr>
                <w:rFonts w:asciiTheme="minorHAnsi" w:hAnsiTheme="minorHAnsi"/>
              </w:rPr>
            </w:pPr>
            <w:r w:rsidRPr="005A2659">
              <w:rPr>
                <w:rFonts w:asciiTheme="minorHAnsi" w:hAnsiTheme="minorHAnsi"/>
              </w:rPr>
              <w:t>0</w:t>
            </w:r>
          </w:p>
        </w:tc>
      </w:tr>
      <w:tr w:rsidR="007425D6" w:rsidRPr="005A2659" w14:paraId="572BF2A7" w14:textId="77777777" w:rsidTr="00A01D3B">
        <w:trPr>
          <w:cnfStyle w:val="000000100000" w:firstRow="0" w:lastRow="0" w:firstColumn="0" w:lastColumn="0" w:oddVBand="0" w:evenVBand="0" w:oddHBand="1" w:evenHBand="0" w:firstRowFirstColumn="0" w:firstRowLastColumn="0" w:lastRowFirstColumn="0" w:lastRowLastColumn="0"/>
        </w:trPr>
        <w:tc>
          <w:tcPr>
            <w:tcW w:w="6629" w:type="dxa"/>
            <w:tcBorders>
              <w:top w:val="nil"/>
              <w:bottom w:val="nil"/>
            </w:tcBorders>
            <w:hideMark/>
          </w:tcPr>
          <w:p w14:paraId="7B11A990" w14:textId="77777777" w:rsidR="007425D6" w:rsidRPr="005A2659" w:rsidRDefault="007425D6" w:rsidP="00A01D3B">
            <w:pPr>
              <w:rPr>
                <w:rFonts w:asciiTheme="minorHAnsi" w:hAnsiTheme="minorHAnsi"/>
              </w:rPr>
            </w:pPr>
            <w:r w:rsidRPr="005A2659">
              <w:rPr>
                <w:rFonts w:asciiTheme="minorHAnsi" w:hAnsiTheme="minorHAnsi"/>
              </w:rPr>
              <w:t>In Year Projects</w:t>
            </w:r>
          </w:p>
        </w:tc>
        <w:tc>
          <w:tcPr>
            <w:tcW w:w="709" w:type="dxa"/>
            <w:tcBorders>
              <w:top w:val="nil"/>
              <w:bottom w:val="nil"/>
            </w:tcBorders>
            <w:hideMark/>
          </w:tcPr>
          <w:p w14:paraId="6FA2E4AF" w14:textId="3AE44335" w:rsidR="007425D6" w:rsidRPr="005A2659" w:rsidRDefault="005F6399" w:rsidP="00A01D3B">
            <w:pPr>
              <w:jc w:val="center"/>
              <w:rPr>
                <w:rFonts w:asciiTheme="minorHAnsi" w:hAnsiTheme="minorHAnsi"/>
              </w:rPr>
            </w:pPr>
            <w:r w:rsidRPr="005A2659">
              <w:rPr>
                <w:rFonts w:asciiTheme="minorHAnsi" w:hAnsiTheme="minorHAnsi"/>
              </w:rPr>
              <w:t>0</w:t>
            </w:r>
          </w:p>
        </w:tc>
      </w:tr>
      <w:tr w:rsidR="007425D6" w:rsidRPr="005A2659" w14:paraId="682EF8F9" w14:textId="77777777" w:rsidTr="00A01D3B">
        <w:tc>
          <w:tcPr>
            <w:tcW w:w="6629" w:type="dxa"/>
            <w:tcBorders>
              <w:top w:val="nil"/>
              <w:left w:val="nil"/>
              <w:bottom w:val="single" w:sz="8" w:space="0" w:color="4F81BD" w:themeColor="accent1"/>
              <w:right w:val="nil"/>
            </w:tcBorders>
            <w:hideMark/>
          </w:tcPr>
          <w:p w14:paraId="4C08CBDB" w14:textId="77777777" w:rsidR="007425D6" w:rsidRPr="005A2659" w:rsidRDefault="007425D6" w:rsidP="00A01D3B">
            <w:pPr>
              <w:rPr>
                <w:rFonts w:asciiTheme="minorHAnsi" w:hAnsiTheme="minorHAnsi"/>
                <w:b/>
                <w:i/>
              </w:rPr>
            </w:pPr>
            <w:r w:rsidRPr="005A2659">
              <w:rPr>
                <w:rFonts w:asciiTheme="minorHAnsi" w:hAnsiTheme="minorHAnsi"/>
                <w:b/>
                <w:i/>
              </w:rPr>
              <w:t>Project Completion Rate (Excluding Withdrawn and In Year Projects)</w:t>
            </w:r>
          </w:p>
        </w:tc>
        <w:tc>
          <w:tcPr>
            <w:tcW w:w="709" w:type="dxa"/>
            <w:tcBorders>
              <w:top w:val="nil"/>
              <w:left w:val="nil"/>
              <w:bottom w:val="single" w:sz="8" w:space="0" w:color="4F81BD" w:themeColor="accent1"/>
              <w:right w:val="nil"/>
            </w:tcBorders>
            <w:hideMark/>
          </w:tcPr>
          <w:p w14:paraId="08816C93" w14:textId="5525CDFE" w:rsidR="007425D6" w:rsidRPr="005A2659" w:rsidRDefault="005A2659" w:rsidP="00A01D3B">
            <w:pPr>
              <w:jc w:val="center"/>
              <w:rPr>
                <w:rFonts w:asciiTheme="minorHAnsi" w:hAnsiTheme="minorHAnsi"/>
                <w:b/>
                <w:i/>
              </w:rPr>
            </w:pPr>
            <w:r>
              <w:rPr>
                <w:rFonts w:asciiTheme="minorHAnsi" w:hAnsiTheme="minorHAnsi"/>
                <w:b/>
                <w:i/>
              </w:rPr>
              <w:t>75</w:t>
            </w:r>
            <w:r w:rsidR="007425D6" w:rsidRPr="005A2659">
              <w:rPr>
                <w:rFonts w:asciiTheme="minorHAnsi" w:hAnsiTheme="minorHAnsi"/>
                <w:b/>
                <w:i/>
              </w:rPr>
              <w:t>%</w:t>
            </w:r>
          </w:p>
        </w:tc>
      </w:tr>
    </w:tbl>
    <w:p w14:paraId="1A66F96C" w14:textId="77777777" w:rsidR="007425D6" w:rsidRPr="005A2659" w:rsidRDefault="007425D6" w:rsidP="007425D6">
      <w:pPr>
        <w:rPr>
          <w:rFonts w:asciiTheme="minorHAnsi" w:hAnsiTheme="minorHAnsi"/>
        </w:rPr>
      </w:pPr>
    </w:p>
    <w:p w14:paraId="11EFD3ED" w14:textId="77777777" w:rsidR="00EC126C" w:rsidRPr="005A2659" w:rsidRDefault="00EC126C" w:rsidP="00133167">
      <w:pPr>
        <w:pStyle w:val="Heading1"/>
        <w:spacing w:before="0" w:after="200"/>
        <w:rPr>
          <w:rFonts w:asciiTheme="minorHAnsi" w:eastAsiaTheme="minorHAnsi" w:hAnsiTheme="minorHAnsi" w:cstheme="minorBidi"/>
          <w:bCs w:val="0"/>
          <w:color w:val="auto"/>
          <w:sz w:val="22"/>
          <w:szCs w:val="22"/>
        </w:rPr>
      </w:pPr>
      <w:r w:rsidRPr="005A2659">
        <w:rPr>
          <w:rFonts w:asciiTheme="minorHAnsi" w:eastAsiaTheme="minorHAnsi" w:hAnsiTheme="minorHAnsi" w:cstheme="minorBidi"/>
          <w:bCs w:val="0"/>
          <w:color w:val="auto"/>
          <w:sz w:val="22"/>
          <w:szCs w:val="22"/>
        </w:rPr>
        <w:t xml:space="preserve">Summary </w:t>
      </w:r>
    </w:p>
    <w:p w14:paraId="68B94423" w14:textId="38A1E0F9" w:rsidR="005F6399" w:rsidRPr="005A2659" w:rsidRDefault="005F6399" w:rsidP="00133167">
      <w:pPr>
        <w:pStyle w:val="Heading1"/>
        <w:spacing w:before="0" w:after="200"/>
        <w:rPr>
          <w:rFonts w:asciiTheme="minorHAnsi" w:eastAsiaTheme="minorHAnsi" w:hAnsiTheme="minorHAnsi" w:cstheme="minorBidi"/>
          <w:b w:val="0"/>
          <w:bCs w:val="0"/>
          <w:color w:val="auto"/>
          <w:sz w:val="22"/>
          <w:szCs w:val="22"/>
        </w:rPr>
      </w:pPr>
      <w:r w:rsidRPr="005A2659">
        <w:rPr>
          <w:rFonts w:asciiTheme="minorHAnsi" w:eastAsiaTheme="minorHAnsi" w:hAnsiTheme="minorHAnsi" w:cstheme="minorBidi"/>
          <w:b w:val="0"/>
          <w:bCs w:val="0"/>
          <w:color w:val="auto"/>
          <w:sz w:val="22"/>
          <w:szCs w:val="22"/>
        </w:rPr>
        <w:t>The INF programme ha</w:t>
      </w:r>
      <w:r w:rsidR="00EC126C" w:rsidRPr="005A2659">
        <w:rPr>
          <w:rFonts w:asciiTheme="minorHAnsi" w:eastAsiaTheme="minorHAnsi" w:hAnsiTheme="minorHAnsi" w:cstheme="minorBidi"/>
          <w:b w:val="0"/>
          <w:bCs w:val="0"/>
          <w:color w:val="auto"/>
          <w:sz w:val="22"/>
          <w:szCs w:val="22"/>
        </w:rPr>
        <w:t>d</w:t>
      </w:r>
      <w:r w:rsidRPr="005A2659">
        <w:rPr>
          <w:rFonts w:asciiTheme="minorHAnsi" w:eastAsiaTheme="minorHAnsi" w:hAnsiTheme="minorHAnsi" w:cstheme="minorBidi"/>
          <w:b w:val="0"/>
          <w:bCs w:val="0"/>
          <w:color w:val="auto"/>
          <w:sz w:val="22"/>
          <w:szCs w:val="22"/>
        </w:rPr>
        <w:t xml:space="preserve"> no carry over from previous year, and so with over a 100 days contingency was in a strong position from the outset.</w:t>
      </w:r>
    </w:p>
    <w:p w14:paraId="6DC5EBB1" w14:textId="187E0979" w:rsidR="00133167" w:rsidRPr="005A2659" w:rsidRDefault="005F6399" w:rsidP="00133167">
      <w:pPr>
        <w:pStyle w:val="Heading1"/>
        <w:spacing w:before="0" w:after="200"/>
        <w:rPr>
          <w:rFonts w:asciiTheme="minorHAnsi" w:eastAsiaTheme="minorHAnsi" w:hAnsiTheme="minorHAnsi" w:cstheme="minorBidi"/>
          <w:b w:val="0"/>
          <w:bCs w:val="0"/>
          <w:color w:val="auto"/>
          <w:sz w:val="22"/>
          <w:szCs w:val="22"/>
        </w:rPr>
      </w:pPr>
      <w:r w:rsidRPr="005A2659">
        <w:rPr>
          <w:rFonts w:asciiTheme="minorHAnsi" w:eastAsiaTheme="minorHAnsi" w:hAnsiTheme="minorHAnsi" w:cstheme="minorBidi"/>
          <w:b w:val="0"/>
          <w:bCs w:val="0"/>
          <w:color w:val="auto"/>
          <w:sz w:val="22"/>
          <w:szCs w:val="22"/>
        </w:rPr>
        <w:t xml:space="preserve">There were </w:t>
      </w:r>
      <w:r w:rsidR="003774B3" w:rsidRPr="005A2659">
        <w:rPr>
          <w:rFonts w:asciiTheme="minorHAnsi" w:eastAsiaTheme="minorHAnsi" w:hAnsiTheme="minorHAnsi" w:cstheme="minorBidi"/>
          <w:b w:val="0"/>
          <w:bCs w:val="0"/>
          <w:color w:val="auto"/>
          <w:sz w:val="22"/>
          <w:szCs w:val="22"/>
        </w:rPr>
        <w:t>four</w:t>
      </w:r>
      <w:r w:rsidRPr="005A2659">
        <w:rPr>
          <w:rFonts w:asciiTheme="minorHAnsi" w:eastAsiaTheme="minorHAnsi" w:hAnsiTheme="minorHAnsi" w:cstheme="minorBidi"/>
          <w:b w:val="0"/>
          <w:bCs w:val="0"/>
          <w:color w:val="auto"/>
          <w:sz w:val="22"/>
          <w:szCs w:val="22"/>
        </w:rPr>
        <w:t xml:space="preserve"> projects projected to complete within the year, and t</w:t>
      </w:r>
      <w:r w:rsidR="003774B3" w:rsidRPr="005A2659">
        <w:rPr>
          <w:rFonts w:asciiTheme="minorHAnsi" w:eastAsiaTheme="minorHAnsi" w:hAnsiTheme="minorHAnsi" w:cstheme="minorBidi"/>
          <w:b w:val="0"/>
          <w:bCs w:val="0"/>
          <w:color w:val="auto"/>
          <w:sz w:val="22"/>
          <w:szCs w:val="22"/>
        </w:rPr>
        <w:t>wo</w:t>
      </w:r>
      <w:r w:rsidRPr="005A2659">
        <w:rPr>
          <w:rFonts w:asciiTheme="minorHAnsi" w:eastAsiaTheme="minorHAnsi" w:hAnsiTheme="minorHAnsi" w:cstheme="minorBidi"/>
          <w:b w:val="0"/>
          <w:bCs w:val="0"/>
          <w:color w:val="auto"/>
          <w:sz w:val="22"/>
          <w:szCs w:val="22"/>
        </w:rPr>
        <w:t xml:space="preserve"> more planned to start in 2014/15 and continue into 2015/16. </w:t>
      </w:r>
      <w:r w:rsidR="005A2659" w:rsidRPr="005A2659">
        <w:rPr>
          <w:rFonts w:asciiTheme="minorHAnsi" w:eastAsiaTheme="minorHAnsi" w:hAnsiTheme="minorHAnsi" w:cstheme="minorBidi"/>
          <w:b w:val="0"/>
          <w:bCs w:val="0"/>
          <w:color w:val="auto"/>
          <w:sz w:val="22"/>
          <w:szCs w:val="22"/>
        </w:rPr>
        <w:t>Respectively:</w:t>
      </w:r>
    </w:p>
    <w:p w14:paraId="3DC4AFB5" w14:textId="3B7AE015" w:rsidR="005F6399" w:rsidRPr="005A2659" w:rsidRDefault="005F6399" w:rsidP="006D4000">
      <w:pPr>
        <w:pStyle w:val="ListParagraph"/>
        <w:keepNext/>
        <w:numPr>
          <w:ilvl w:val="0"/>
          <w:numId w:val="22"/>
        </w:numPr>
        <w:rPr>
          <w:rFonts w:asciiTheme="minorHAnsi" w:hAnsiTheme="minorHAnsi"/>
          <w:sz w:val="22"/>
          <w:szCs w:val="22"/>
        </w:rPr>
      </w:pPr>
      <w:r w:rsidRPr="005A2659">
        <w:rPr>
          <w:rFonts w:asciiTheme="minorHAnsi" w:hAnsiTheme="minorHAnsi"/>
          <w:sz w:val="22"/>
          <w:szCs w:val="22"/>
        </w:rPr>
        <w:t>New Application Tier Replacement (INF106)</w:t>
      </w:r>
    </w:p>
    <w:p w14:paraId="429902A4" w14:textId="77777777" w:rsidR="005F6399" w:rsidRPr="005A2659" w:rsidRDefault="005F6399" w:rsidP="005F6399">
      <w:pPr>
        <w:pStyle w:val="ListParagraph"/>
        <w:keepNext/>
        <w:numPr>
          <w:ilvl w:val="0"/>
          <w:numId w:val="22"/>
        </w:numPr>
        <w:rPr>
          <w:rFonts w:asciiTheme="minorHAnsi" w:hAnsiTheme="minorHAnsi"/>
          <w:sz w:val="22"/>
          <w:szCs w:val="22"/>
        </w:rPr>
      </w:pPr>
      <w:r w:rsidRPr="005A2659">
        <w:rPr>
          <w:rFonts w:asciiTheme="minorHAnsi" w:hAnsiTheme="minorHAnsi"/>
          <w:sz w:val="22"/>
          <w:szCs w:val="22"/>
        </w:rPr>
        <w:t>Environment Monitoring System Assessment (INF107)</w:t>
      </w:r>
    </w:p>
    <w:p w14:paraId="059BF10C" w14:textId="59F01848" w:rsidR="005F6399" w:rsidRPr="005A2659" w:rsidRDefault="005F6399" w:rsidP="006D4000">
      <w:pPr>
        <w:pStyle w:val="ListParagraph"/>
        <w:keepNext/>
        <w:numPr>
          <w:ilvl w:val="0"/>
          <w:numId w:val="22"/>
        </w:numPr>
        <w:rPr>
          <w:rFonts w:asciiTheme="minorHAnsi" w:hAnsiTheme="minorHAnsi"/>
          <w:sz w:val="22"/>
          <w:szCs w:val="22"/>
        </w:rPr>
      </w:pPr>
      <w:r w:rsidRPr="005A2659">
        <w:rPr>
          <w:rFonts w:asciiTheme="minorHAnsi" w:hAnsiTheme="minorHAnsi"/>
          <w:sz w:val="22"/>
          <w:szCs w:val="22"/>
        </w:rPr>
        <w:t>Automated Server Builds (INF108)</w:t>
      </w:r>
    </w:p>
    <w:p w14:paraId="31F12846" w14:textId="34998DE0" w:rsidR="005F6399" w:rsidRPr="005A2659" w:rsidRDefault="005F6399" w:rsidP="006D4000">
      <w:pPr>
        <w:pStyle w:val="ListParagraph"/>
        <w:keepNext/>
        <w:numPr>
          <w:ilvl w:val="0"/>
          <w:numId w:val="22"/>
        </w:numPr>
        <w:rPr>
          <w:rFonts w:asciiTheme="minorHAnsi" w:hAnsiTheme="minorHAnsi"/>
          <w:sz w:val="22"/>
          <w:szCs w:val="22"/>
        </w:rPr>
      </w:pPr>
      <w:r w:rsidRPr="005A2659">
        <w:rPr>
          <w:rFonts w:asciiTheme="minorHAnsi" w:hAnsiTheme="minorHAnsi"/>
          <w:sz w:val="22"/>
          <w:szCs w:val="22"/>
        </w:rPr>
        <w:t xml:space="preserve">Annual </w:t>
      </w:r>
      <w:r w:rsidR="00133167" w:rsidRPr="005A2659">
        <w:rPr>
          <w:rFonts w:asciiTheme="minorHAnsi" w:hAnsiTheme="minorHAnsi"/>
          <w:sz w:val="22"/>
          <w:szCs w:val="22"/>
        </w:rPr>
        <w:t>Upgrade</w:t>
      </w:r>
      <w:r w:rsidRPr="005A2659">
        <w:rPr>
          <w:rFonts w:asciiTheme="minorHAnsi" w:hAnsiTheme="minorHAnsi"/>
          <w:sz w:val="22"/>
          <w:szCs w:val="22"/>
        </w:rPr>
        <w:t>s of Development Tools (INF109)</w:t>
      </w:r>
      <w:r w:rsidR="003774B3" w:rsidRPr="005A2659">
        <w:rPr>
          <w:rFonts w:asciiTheme="minorHAnsi" w:hAnsiTheme="minorHAnsi"/>
          <w:sz w:val="22"/>
          <w:szCs w:val="22"/>
        </w:rPr>
        <w:br/>
        <w:t>and</w:t>
      </w:r>
    </w:p>
    <w:p w14:paraId="07B86832" w14:textId="77777777" w:rsidR="003774B3" w:rsidRPr="005A2659" w:rsidRDefault="005F6399" w:rsidP="005F6399">
      <w:pPr>
        <w:pStyle w:val="ListParagraph"/>
        <w:keepNext/>
        <w:numPr>
          <w:ilvl w:val="0"/>
          <w:numId w:val="22"/>
        </w:numPr>
        <w:rPr>
          <w:rFonts w:asciiTheme="minorHAnsi" w:hAnsiTheme="minorHAnsi"/>
          <w:sz w:val="22"/>
          <w:szCs w:val="22"/>
        </w:rPr>
      </w:pPr>
      <w:r w:rsidRPr="005A2659">
        <w:rPr>
          <w:rFonts w:asciiTheme="minorHAnsi" w:hAnsiTheme="minorHAnsi"/>
          <w:sz w:val="22"/>
          <w:szCs w:val="22"/>
        </w:rPr>
        <w:t>Decommission Obsolete Infrastructure (INF105)</w:t>
      </w:r>
    </w:p>
    <w:p w14:paraId="14C14FDC" w14:textId="32C7B950" w:rsidR="005F6399" w:rsidRPr="005A2659" w:rsidRDefault="003774B3" w:rsidP="005F6399">
      <w:pPr>
        <w:pStyle w:val="ListParagraph"/>
        <w:keepNext/>
        <w:numPr>
          <w:ilvl w:val="0"/>
          <w:numId w:val="22"/>
        </w:numPr>
        <w:rPr>
          <w:rFonts w:asciiTheme="minorHAnsi" w:hAnsiTheme="minorHAnsi"/>
          <w:sz w:val="22"/>
          <w:szCs w:val="22"/>
        </w:rPr>
      </w:pPr>
      <w:r w:rsidRPr="005A2659">
        <w:rPr>
          <w:rFonts w:asciiTheme="minorHAnsi" w:hAnsiTheme="minorHAnsi"/>
          <w:sz w:val="22"/>
          <w:szCs w:val="22"/>
        </w:rPr>
        <w:t xml:space="preserve">Environment Monitoring System </w:t>
      </w:r>
      <w:r w:rsidRPr="005A2659">
        <w:rPr>
          <w:rFonts w:asciiTheme="minorHAnsi" w:hAnsiTheme="minorHAnsi"/>
          <w:sz w:val="22"/>
          <w:szCs w:val="22"/>
        </w:rPr>
        <w:t>– Procurement / Implementation</w:t>
      </w:r>
    </w:p>
    <w:p w14:paraId="522CEFDC" w14:textId="354CF802" w:rsidR="008D2FE8" w:rsidRPr="005A2659" w:rsidRDefault="008D2FE8" w:rsidP="003774B3">
      <w:pPr>
        <w:pStyle w:val="ListParagraph"/>
        <w:keepNext/>
        <w:rPr>
          <w:rFonts w:asciiTheme="minorHAnsi" w:hAnsiTheme="minorHAnsi"/>
          <w:sz w:val="22"/>
          <w:szCs w:val="22"/>
        </w:rPr>
      </w:pPr>
    </w:p>
    <w:p w14:paraId="456F31E0" w14:textId="0397B1BB" w:rsidR="005A2659" w:rsidRDefault="003774B3" w:rsidP="00EC126C">
      <w:pPr>
        <w:pStyle w:val="Heading1"/>
        <w:spacing w:before="120" w:after="120"/>
        <w:rPr>
          <w:rFonts w:asciiTheme="minorHAnsi" w:eastAsiaTheme="minorHAnsi" w:hAnsiTheme="minorHAnsi" w:cstheme="minorBidi"/>
          <w:b w:val="0"/>
          <w:bCs w:val="0"/>
          <w:color w:val="auto"/>
          <w:sz w:val="22"/>
          <w:szCs w:val="22"/>
        </w:rPr>
      </w:pPr>
      <w:r w:rsidRPr="005A2659">
        <w:rPr>
          <w:rFonts w:asciiTheme="minorHAnsi" w:eastAsiaTheme="minorHAnsi" w:hAnsiTheme="minorHAnsi" w:cstheme="minorBidi"/>
          <w:b w:val="0"/>
          <w:bCs w:val="0"/>
          <w:color w:val="auto"/>
          <w:sz w:val="22"/>
          <w:szCs w:val="22"/>
        </w:rPr>
        <w:t xml:space="preserve">The programme has delivered </w:t>
      </w:r>
      <w:r w:rsidR="005A2659">
        <w:rPr>
          <w:rFonts w:asciiTheme="minorHAnsi" w:eastAsiaTheme="minorHAnsi" w:hAnsiTheme="minorHAnsi" w:cstheme="minorBidi"/>
          <w:b w:val="0"/>
          <w:bCs w:val="0"/>
          <w:color w:val="auto"/>
          <w:sz w:val="22"/>
          <w:szCs w:val="22"/>
        </w:rPr>
        <w:t xml:space="preserve">three of </w:t>
      </w:r>
      <w:r w:rsidRPr="005A2659">
        <w:rPr>
          <w:rFonts w:asciiTheme="minorHAnsi" w:eastAsiaTheme="minorHAnsi" w:hAnsiTheme="minorHAnsi" w:cstheme="minorBidi"/>
          <w:b w:val="0"/>
          <w:bCs w:val="0"/>
          <w:color w:val="auto"/>
          <w:sz w:val="22"/>
          <w:szCs w:val="22"/>
        </w:rPr>
        <w:t>the four projects as expected,</w:t>
      </w:r>
      <w:r w:rsidR="005A2659">
        <w:rPr>
          <w:rFonts w:asciiTheme="minorHAnsi" w:eastAsiaTheme="minorHAnsi" w:hAnsiTheme="minorHAnsi" w:cstheme="minorBidi"/>
          <w:b w:val="0"/>
          <w:bCs w:val="0"/>
          <w:color w:val="auto"/>
          <w:sz w:val="22"/>
          <w:szCs w:val="22"/>
        </w:rPr>
        <w:t xml:space="preserve"> with INF108 delivering its recommendation report now in August.</w:t>
      </w:r>
      <w:r w:rsidRPr="005A2659">
        <w:rPr>
          <w:rFonts w:asciiTheme="minorHAnsi" w:eastAsiaTheme="minorHAnsi" w:hAnsiTheme="minorHAnsi" w:cstheme="minorBidi"/>
          <w:b w:val="0"/>
          <w:bCs w:val="0"/>
          <w:color w:val="auto"/>
          <w:sz w:val="22"/>
          <w:szCs w:val="22"/>
        </w:rPr>
        <w:t xml:space="preserve"> </w:t>
      </w:r>
    </w:p>
    <w:p w14:paraId="3AB92C72" w14:textId="55D92BA0" w:rsidR="003774B3" w:rsidRPr="005A2659" w:rsidRDefault="00104D9E" w:rsidP="00EC126C">
      <w:pPr>
        <w:pStyle w:val="Heading1"/>
        <w:spacing w:before="120" w:after="120"/>
        <w:rPr>
          <w:rFonts w:asciiTheme="minorHAnsi" w:eastAsiaTheme="minorHAnsi" w:hAnsiTheme="minorHAnsi" w:cstheme="minorBidi"/>
          <w:b w:val="0"/>
          <w:bCs w:val="0"/>
          <w:color w:val="auto"/>
          <w:sz w:val="22"/>
          <w:szCs w:val="22"/>
        </w:rPr>
      </w:pPr>
      <w:r w:rsidRPr="005A2659">
        <w:rPr>
          <w:rFonts w:asciiTheme="minorHAnsi" w:eastAsiaTheme="minorHAnsi" w:hAnsiTheme="minorHAnsi" w:cstheme="minorBidi"/>
          <w:b w:val="0"/>
          <w:bCs w:val="0"/>
          <w:color w:val="auto"/>
          <w:sz w:val="22"/>
          <w:szCs w:val="22"/>
        </w:rPr>
        <w:t xml:space="preserve">INF105 is running into 15/16 as planned, but there was a </w:t>
      </w:r>
      <w:r w:rsidR="003774B3" w:rsidRPr="005A2659">
        <w:rPr>
          <w:rFonts w:asciiTheme="minorHAnsi" w:eastAsiaTheme="minorHAnsi" w:hAnsiTheme="minorHAnsi" w:cstheme="minorBidi"/>
          <w:b w:val="0"/>
          <w:bCs w:val="0"/>
          <w:color w:val="auto"/>
          <w:sz w:val="22"/>
          <w:szCs w:val="22"/>
        </w:rPr>
        <w:t xml:space="preserve">delay on getting the Environment Monitoring System follow up project started, </w:t>
      </w:r>
      <w:r w:rsidRPr="005A2659">
        <w:rPr>
          <w:rFonts w:asciiTheme="minorHAnsi" w:eastAsiaTheme="minorHAnsi" w:hAnsiTheme="minorHAnsi" w:cstheme="minorBidi"/>
          <w:b w:val="0"/>
          <w:bCs w:val="0"/>
          <w:color w:val="auto"/>
          <w:sz w:val="22"/>
          <w:szCs w:val="22"/>
        </w:rPr>
        <w:t xml:space="preserve">and </w:t>
      </w:r>
      <w:r w:rsidR="003774B3" w:rsidRPr="005A2659">
        <w:rPr>
          <w:rFonts w:asciiTheme="minorHAnsi" w:eastAsiaTheme="minorHAnsi" w:hAnsiTheme="minorHAnsi" w:cstheme="minorBidi"/>
          <w:b w:val="0"/>
          <w:bCs w:val="0"/>
          <w:color w:val="auto"/>
          <w:sz w:val="22"/>
          <w:szCs w:val="22"/>
        </w:rPr>
        <w:t>which will now start in 2015/16.</w:t>
      </w:r>
    </w:p>
    <w:p w14:paraId="525D541A" w14:textId="06D8564D" w:rsidR="00EC126C" w:rsidRPr="005A2659" w:rsidRDefault="005A2659" w:rsidP="00EC126C">
      <w:pPr>
        <w:rPr>
          <w:rFonts w:asciiTheme="minorHAnsi" w:hAnsiTheme="minorHAnsi"/>
        </w:rPr>
      </w:pPr>
      <w:r w:rsidRPr="005A2659">
        <w:rPr>
          <w:rFonts w:asciiTheme="minorHAnsi" w:hAnsiTheme="minorHAnsi"/>
        </w:rPr>
        <w:t>Most of the contingency was returned to the ISG Portfolio.</w:t>
      </w:r>
    </w:p>
    <w:p w14:paraId="0CFF31E5" w14:textId="06A1CA3B" w:rsidR="003774B3" w:rsidRPr="005A2659" w:rsidRDefault="003774B3" w:rsidP="003774B3">
      <w:pPr>
        <w:spacing w:after="200" w:line="276" w:lineRule="auto"/>
        <w:rPr>
          <w:rFonts w:asciiTheme="minorHAnsi" w:hAnsiTheme="minorHAnsi"/>
        </w:rPr>
      </w:pPr>
      <w:r w:rsidRPr="005A2659">
        <w:rPr>
          <w:rFonts w:asciiTheme="minorHAnsi" w:hAnsiTheme="minorHAnsi"/>
        </w:rPr>
        <w:br w:type="page"/>
      </w:r>
      <w:r w:rsidRPr="005A2659">
        <w:rPr>
          <w:rFonts w:asciiTheme="minorHAnsi" w:hAnsiTheme="minorHAnsi"/>
        </w:rPr>
        <w:br/>
        <w:t>However, the programme has been able to start three of the planned 2015/16 projects in the current year, so putting the programme on a strong start to the new year and moving to a model of a continuous three year cycle.</w:t>
      </w:r>
    </w:p>
    <w:p w14:paraId="3D852F10" w14:textId="77777777" w:rsidR="003774B3" w:rsidRPr="005A2659" w:rsidRDefault="003774B3" w:rsidP="006D4000">
      <w:pPr>
        <w:pStyle w:val="ListParagraph"/>
        <w:keepNext/>
        <w:numPr>
          <w:ilvl w:val="0"/>
          <w:numId w:val="22"/>
        </w:numPr>
        <w:rPr>
          <w:rFonts w:asciiTheme="minorHAnsi" w:hAnsiTheme="minorHAnsi"/>
          <w:sz w:val="22"/>
          <w:szCs w:val="22"/>
        </w:rPr>
      </w:pPr>
      <w:r w:rsidRPr="005A2659">
        <w:rPr>
          <w:rFonts w:asciiTheme="minorHAnsi" w:hAnsiTheme="minorHAnsi"/>
          <w:sz w:val="22"/>
          <w:szCs w:val="22"/>
        </w:rPr>
        <w:t>Install Oracle 12c</w:t>
      </w:r>
    </w:p>
    <w:p w14:paraId="4C220C68" w14:textId="67682A27" w:rsidR="008D2FE8" w:rsidRPr="005A2659" w:rsidRDefault="003774B3" w:rsidP="006D4000">
      <w:pPr>
        <w:pStyle w:val="ListParagraph"/>
        <w:keepNext/>
        <w:numPr>
          <w:ilvl w:val="0"/>
          <w:numId w:val="22"/>
        </w:numPr>
        <w:rPr>
          <w:rFonts w:asciiTheme="minorHAnsi" w:hAnsiTheme="minorHAnsi"/>
          <w:sz w:val="22"/>
          <w:szCs w:val="22"/>
        </w:rPr>
      </w:pPr>
      <w:r w:rsidRPr="005A2659">
        <w:rPr>
          <w:rFonts w:asciiTheme="minorHAnsi" w:hAnsiTheme="minorHAnsi"/>
          <w:sz w:val="22"/>
          <w:szCs w:val="22"/>
        </w:rPr>
        <w:t>New SQL Server DB Tier Replacement</w:t>
      </w:r>
    </w:p>
    <w:p w14:paraId="66758DD8" w14:textId="620D6014" w:rsidR="003774B3" w:rsidRPr="005A2659" w:rsidRDefault="003774B3" w:rsidP="006D4000">
      <w:pPr>
        <w:pStyle w:val="ListParagraph"/>
        <w:keepNext/>
        <w:numPr>
          <w:ilvl w:val="0"/>
          <w:numId w:val="22"/>
        </w:numPr>
        <w:rPr>
          <w:rFonts w:asciiTheme="minorHAnsi" w:hAnsiTheme="minorHAnsi"/>
          <w:sz w:val="22"/>
          <w:szCs w:val="22"/>
        </w:rPr>
      </w:pPr>
      <w:r w:rsidRPr="005A2659">
        <w:rPr>
          <w:rFonts w:asciiTheme="minorHAnsi" w:hAnsiTheme="minorHAnsi"/>
          <w:sz w:val="22"/>
          <w:szCs w:val="22"/>
        </w:rPr>
        <w:t xml:space="preserve">Build and Configure New </w:t>
      </w:r>
      <w:proofErr w:type="spellStart"/>
      <w:r w:rsidRPr="005A2659">
        <w:rPr>
          <w:rFonts w:asciiTheme="minorHAnsi" w:hAnsiTheme="minorHAnsi"/>
          <w:sz w:val="22"/>
          <w:szCs w:val="22"/>
        </w:rPr>
        <w:t>Coldfusion</w:t>
      </w:r>
      <w:proofErr w:type="spellEnd"/>
      <w:r w:rsidRPr="005A2659">
        <w:rPr>
          <w:rFonts w:asciiTheme="minorHAnsi" w:hAnsiTheme="minorHAnsi"/>
          <w:sz w:val="22"/>
          <w:szCs w:val="22"/>
        </w:rPr>
        <w:t xml:space="preserve"> Version</w:t>
      </w:r>
    </w:p>
    <w:p w14:paraId="489C7922" w14:textId="7ADF7BB4" w:rsidR="003774B3" w:rsidRPr="005A2659" w:rsidRDefault="003774B3" w:rsidP="007425D6">
      <w:pPr>
        <w:pStyle w:val="Heading1"/>
        <w:spacing w:before="0" w:after="200"/>
        <w:rPr>
          <w:rFonts w:asciiTheme="minorHAnsi" w:eastAsiaTheme="minorHAnsi" w:hAnsiTheme="minorHAnsi" w:cstheme="minorBidi"/>
          <w:b w:val="0"/>
          <w:bCs w:val="0"/>
          <w:color w:val="auto"/>
          <w:sz w:val="22"/>
          <w:szCs w:val="22"/>
        </w:rPr>
      </w:pPr>
      <w:r w:rsidRPr="005A2659">
        <w:rPr>
          <w:rFonts w:asciiTheme="minorHAnsi" w:eastAsiaTheme="minorHAnsi" w:hAnsiTheme="minorHAnsi" w:cstheme="minorBidi"/>
          <w:b w:val="0"/>
          <w:bCs w:val="0"/>
          <w:color w:val="auto"/>
          <w:sz w:val="22"/>
          <w:szCs w:val="22"/>
        </w:rPr>
        <w:br/>
      </w:r>
      <w:r w:rsidR="00104D9E" w:rsidRPr="005A2659">
        <w:rPr>
          <w:rFonts w:asciiTheme="minorHAnsi" w:eastAsiaTheme="minorHAnsi" w:hAnsiTheme="minorHAnsi" w:cstheme="minorBidi"/>
          <w:b w:val="0"/>
          <w:bCs w:val="0"/>
          <w:color w:val="auto"/>
          <w:sz w:val="22"/>
          <w:szCs w:val="22"/>
        </w:rPr>
        <w:br/>
        <w:t>In addition to project delivery, the programme has shown IS Applications collaborating successfully on the INF107 project, and also has given Dev Tech the chance to manage small, focussed projects such as INF109 which have been successful.</w:t>
      </w:r>
    </w:p>
    <w:p w14:paraId="1135CCE7" w14:textId="77777777" w:rsidR="00104D9E" w:rsidRPr="005A2659" w:rsidRDefault="00104D9E" w:rsidP="00104D9E">
      <w:pPr>
        <w:rPr>
          <w:rFonts w:asciiTheme="minorHAnsi" w:hAnsiTheme="minorHAnsi"/>
        </w:rPr>
      </w:pPr>
    </w:p>
    <w:p w14:paraId="106A6FA4" w14:textId="079DA141" w:rsidR="008D2FE8" w:rsidRPr="005A2659" w:rsidRDefault="00104D9E" w:rsidP="007425D6">
      <w:pPr>
        <w:pStyle w:val="Heading1"/>
        <w:spacing w:before="0" w:after="200"/>
        <w:rPr>
          <w:rFonts w:asciiTheme="minorHAnsi" w:hAnsiTheme="minorHAnsi"/>
        </w:rPr>
      </w:pPr>
      <w:r w:rsidRPr="005A2659">
        <w:rPr>
          <w:rFonts w:asciiTheme="minorHAnsi" w:eastAsiaTheme="minorHAnsi" w:hAnsiTheme="minorHAnsi" w:cstheme="minorBidi"/>
          <w:b w:val="0"/>
          <w:bCs w:val="0"/>
          <w:color w:val="auto"/>
          <w:sz w:val="22"/>
          <w:szCs w:val="22"/>
        </w:rPr>
        <w:t>As detailed above</w:t>
      </w:r>
      <w:r w:rsidR="00262B39" w:rsidRPr="005A2659">
        <w:rPr>
          <w:rFonts w:asciiTheme="minorHAnsi" w:eastAsiaTheme="minorHAnsi" w:hAnsiTheme="minorHAnsi" w:cstheme="minorBidi"/>
          <w:b w:val="0"/>
          <w:bCs w:val="0"/>
          <w:color w:val="auto"/>
          <w:sz w:val="22"/>
          <w:szCs w:val="22"/>
        </w:rPr>
        <w:t xml:space="preserve">, the programme </w:t>
      </w:r>
      <w:r w:rsidR="008D2FE8" w:rsidRPr="005A2659">
        <w:rPr>
          <w:rFonts w:asciiTheme="minorHAnsi" w:eastAsiaTheme="minorHAnsi" w:hAnsiTheme="minorHAnsi" w:cstheme="minorBidi"/>
          <w:b w:val="0"/>
          <w:bCs w:val="0"/>
          <w:color w:val="auto"/>
          <w:sz w:val="22"/>
          <w:szCs w:val="22"/>
        </w:rPr>
        <w:t>delive</w:t>
      </w:r>
      <w:r w:rsidR="00262B39" w:rsidRPr="005A2659">
        <w:rPr>
          <w:rFonts w:asciiTheme="minorHAnsi" w:eastAsiaTheme="minorHAnsi" w:hAnsiTheme="minorHAnsi" w:cstheme="minorBidi"/>
          <w:b w:val="0"/>
          <w:bCs w:val="0"/>
          <w:color w:val="auto"/>
          <w:sz w:val="22"/>
          <w:szCs w:val="22"/>
        </w:rPr>
        <w:t>red</w:t>
      </w:r>
      <w:r w:rsidR="008D2FE8" w:rsidRPr="005A2659">
        <w:rPr>
          <w:rFonts w:asciiTheme="minorHAnsi" w:eastAsiaTheme="minorHAnsi" w:hAnsiTheme="minorHAnsi" w:cstheme="minorBidi"/>
          <w:b w:val="0"/>
          <w:bCs w:val="0"/>
          <w:color w:val="auto"/>
          <w:sz w:val="22"/>
          <w:szCs w:val="22"/>
        </w:rPr>
        <w:t xml:space="preserve"> projects, providing improved </w:t>
      </w:r>
      <w:r w:rsidRPr="005A2659">
        <w:rPr>
          <w:rFonts w:asciiTheme="minorHAnsi" w:eastAsiaTheme="minorHAnsi" w:hAnsiTheme="minorHAnsi" w:cstheme="minorBidi"/>
          <w:b w:val="0"/>
          <w:bCs w:val="0"/>
          <w:color w:val="auto"/>
          <w:sz w:val="22"/>
          <w:szCs w:val="22"/>
        </w:rPr>
        <w:t>architecture</w:t>
      </w:r>
      <w:r w:rsidR="005A2659">
        <w:rPr>
          <w:rFonts w:asciiTheme="minorHAnsi" w:eastAsiaTheme="minorHAnsi" w:hAnsiTheme="minorHAnsi" w:cstheme="minorBidi"/>
          <w:b w:val="0"/>
          <w:bCs w:val="0"/>
          <w:color w:val="auto"/>
          <w:sz w:val="22"/>
          <w:szCs w:val="22"/>
        </w:rPr>
        <w:t>, processes and tools</w:t>
      </w:r>
      <w:r w:rsidRPr="005A2659">
        <w:rPr>
          <w:rFonts w:asciiTheme="minorHAnsi" w:eastAsiaTheme="minorHAnsi" w:hAnsiTheme="minorHAnsi" w:cstheme="minorBidi"/>
          <w:b w:val="0"/>
          <w:bCs w:val="0"/>
          <w:color w:val="auto"/>
          <w:sz w:val="22"/>
          <w:szCs w:val="22"/>
        </w:rPr>
        <w:t xml:space="preserve"> to underpin our</w:t>
      </w:r>
      <w:r w:rsidR="008D2FE8" w:rsidRPr="005A2659">
        <w:rPr>
          <w:rFonts w:asciiTheme="minorHAnsi" w:eastAsiaTheme="minorHAnsi" w:hAnsiTheme="minorHAnsi" w:cstheme="minorBidi"/>
          <w:b w:val="0"/>
          <w:bCs w:val="0"/>
          <w:color w:val="auto"/>
          <w:sz w:val="22"/>
          <w:szCs w:val="22"/>
        </w:rPr>
        <w:t xml:space="preserve"> services.</w:t>
      </w:r>
      <w:r w:rsidR="008D2FE8" w:rsidRPr="005A2659">
        <w:rPr>
          <w:rFonts w:asciiTheme="minorHAnsi" w:hAnsiTheme="minorHAnsi"/>
        </w:rPr>
        <w:t xml:space="preserve"> </w:t>
      </w:r>
    </w:p>
    <w:p w14:paraId="5E4996C1" w14:textId="4B0FA4EB" w:rsidR="00331A80" w:rsidRPr="005A2659" w:rsidRDefault="00104D9E" w:rsidP="006D4000">
      <w:pPr>
        <w:pStyle w:val="Heading1"/>
        <w:spacing w:before="0"/>
        <w:rPr>
          <w:rFonts w:asciiTheme="minorHAnsi" w:eastAsiaTheme="minorHAnsi" w:hAnsiTheme="minorHAnsi" w:cstheme="minorBidi"/>
          <w:b w:val="0"/>
          <w:bCs w:val="0"/>
          <w:color w:val="auto"/>
          <w:sz w:val="22"/>
          <w:szCs w:val="22"/>
        </w:rPr>
      </w:pPr>
      <w:r w:rsidRPr="005A2659">
        <w:rPr>
          <w:rFonts w:asciiTheme="minorHAnsi" w:eastAsiaTheme="minorHAnsi" w:hAnsiTheme="minorHAnsi" w:cstheme="minorBidi"/>
          <w:bCs w:val="0"/>
          <w:color w:val="auto"/>
          <w:sz w:val="22"/>
          <w:szCs w:val="22"/>
        </w:rPr>
        <w:t>INF106</w:t>
      </w:r>
      <w:r w:rsidR="00331A80" w:rsidRPr="005A2659">
        <w:rPr>
          <w:rFonts w:asciiTheme="minorHAnsi" w:eastAsiaTheme="minorHAnsi" w:hAnsiTheme="minorHAnsi" w:cstheme="minorBidi"/>
          <w:bCs w:val="0"/>
          <w:color w:val="auto"/>
          <w:sz w:val="22"/>
          <w:szCs w:val="22"/>
        </w:rPr>
        <w:t xml:space="preserve"> - </w:t>
      </w:r>
      <w:r w:rsidRPr="005A2659">
        <w:rPr>
          <w:rFonts w:asciiTheme="minorHAnsi" w:eastAsiaTheme="minorHAnsi" w:hAnsiTheme="minorHAnsi" w:cstheme="minorBidi"/>
          <w:bCs w:val="0"/>
          <w:color w:val="auto"/>
          <w:sz w:val="22"/>
          <w:szCs w:val="22"/>
        </w:rPr>
        <w:t>New Application Tier Replacement</w:t>
      </w:r>
      <w:r w:rsidR="00331A80" w:rsidRPr="005A2659">
        <w:rPr>
          <w:rFonts w:asciiTheme="minorHAnsi" w:eastAsiaTheme="minorHAnsi" w:hAnsiTheme="minorHAnsi" w:cstheme="minorBidi"/>
          <w:bCs w:val="0"/>
          <w:color w:val="auto"/>
          <w:sz w:val="22"/>
          <w:szCs w:val="22"/>
        </w:rPr>
        <w:br/>
      </w:r>
      <w:proofErr w:type="gramStart"/>
      <w:r w:rsidR="00331A80" w:rsidRPr="005A2659">
        <w:rPr>
          <w:rFonts w:asciiTheme="minorHAnsi" w:eastAsiaTheme="minorHAnsi" w:hAnsiTheme="minorHAnsi" w:cstheme="minorBidi"/>
          <w:b w:val="0"/>
          <w:bCs w:val="0"/>
          <w:color w:val="auto"/>
          <w:sz w:val="22"/>
          <w:szCs w:val="22"/>
        </w:rPr>
        <w:t>This</w:t>
      </w:r>
      <w:proofErr w:type="gramEnd"/>
      <w:r w:rsidR="00331A80" w:rsidRPr="005A2659">
        <w:rPr>
          <w:rFonts w:asciiTheme="minorHAnsi" w:eastAsiaTheme="minorHAnsi" w:hAnsiTheme="minorHAnsi" w:cstheme="minorBidi"/>
          <w:b w:val="0"/>
          <w:bCs w:val="0"/>
          <w:color w:val="auto"/>
          <w:sz w:val="22"/>
          <w:szCs w:val="22"/>
        </w:rPr>
        <w:t xml:space="preserve"> </w:t>
      </w:r>
      <w:r w:rsidRPr="005A2659">
        <w:rPr>
          <w:rFonts w:asciiTheme="minorHAnsi" w:eastAsiaTheme="minorHAnsi" w:hAnsiTheme="minorHAnsi" w:cstheme="minorBidi"/>
          <w:b w:val="0"/>
          <w:bCs w:val="0"/>
          <w:color w:val="auto"/>
          <w:sz w:val="22"/>
          <w:szCs w:val="22"/>
        </w:rPr>
        <w:t>provided a new infrastructure for the application tier, implementing the recommendations of the 13/14 INF104 project. This was a skeleton framework, implemented to support the application tier going forward and to underpin any new developments in the application tier across business areas</w:t>
      </w:r>
      <w:r w:rsidR="00331A80" w:rsidRPr="005A2659">
        <w:rPr>
          <w:rFonts w:asciiTheme="minorHAnsi" w:eastAsiaTheme="minorHAnsi" w:hAnsiTheme="minorHAnsi" w:cstheme="minorBidi"/>
          <w:b w:val="0"/>
          <w:bCs w:val="0"/>
          <w:color w:val="auto"/>
          <w:sz w:val="22"/>
          <w:szCs w:val="22"/>
        </w:rPr>
        <w:t xml:space="preserve">. </w:t>
      </w:r>
      <w:r w:rsidRPr="005A2659">
        <w:rPr>
          <w:rFonts w:asciiTheme="minorHAnsi" w:eastAsiaTheme="minorHAnsi" w:hAnsiTheme="minorHAnsi" w:cstheme="minorBidi"/>
          <w:b w:val="0"/>
          <w:bCs w:val="0"/>
          <w:color w:val="auto"/>
          <w:sz w:val="22"/>
          <w:szCs w:val="22"/>
        </w:rPr>
        <w:br/>
      </w:r>
    </w:p>
    <w:p w14:paraId="48296273" w14:textId="77777777" w:rsidR="00331A80" w:rsidRPr="005A2659" w:rsidRDefault="00331A80" w:rsidP="006D4000">
      <w:pPr>
        <w:pStyle w:val="Heading1"/>
        <w:spacing w:before="0"/>
        <w:rPr>
          <w:rFonts w:asciiTheme="minorHAnsi" w:eastAsiaTheme="minorHAnsi" w:hAnsiTheme="minorHAnsi" w:cstheme="minorBidi"/>
          <w:b w:val="0"/>
          <w:bCs w:val="0"/>
          <w:color w:val="auto"/>
          <w:sz w:val="22"/>
          <w:szCs w:val="22"/>
        </w:rPr>
      </w:pPr>
      <w:r w:rsidRPr="005A2659">
        <w:rPr>
          <w:rFonts w:asciiTheme="minorHAnsi" w:eastAsiaTheme="minorHAnsi" w:hAnsiTheme="minorHAnsi" w:cstheme="minorBidi"/>
          <w:b w:val="0"/>
          <w:bCs w:val="0"/>
          <w:color w:val="auto"/>
          <w:sz w:val="22"/>
          <w:szCs w:val="22"/>
        </w:rPr>
        <w:t xml:space="preserve">The main benefits delivered were: </w:t>
      </w:r>
    </w:p>
    <w:p w14:paraId="582622C9" w14:textId="671FBD44" w:rsidR="00104D9E" w:rsidRPr="005A2659" w:rsidRDefault="00104D9E" w:rsidP="005433B8">
      <w:pPr>
        <w:pStyle w:val="ListParagraph"/>
        <w:keepNext/>
        <w:numPr>
          <w:ilvl w:val="0"/>
          <w:numId w:val="22"/>
        </w:numPr>
        <w:rPr>
          <w:rFonts w:asciiTheme="minorHAnsi" w:hAnsiTheme="minorHAnsi"/>
          <w:sz w:val="22"/>
          <w:szCs w:val="22"/>
        </w:rPr>
      </w:pPr>
      <w:r w:rsidRPr="005A2659">
        <w:rPr>
          <w:rFonts w:asciiTheme="minorHAnsi" w:hAnsiTheme="minorHAnsi"/>
          <w:sz w:val="22"/>
          <w:szCs w:val="22"/>
        </w:rPr>
        <w:t>Cost Reduction - reduced numbers of physical infrastructure to manage / reduced hardware maintenance costs because of a lower number of physical servers.</w:t>
      </w:r>
    </w:p>
    <w:p w14:paraId="18425577" w14:textId="283C81BC" w:rsidR="00104D9E" w:rsidRPr="005A2659" w:rsidRDefault="00104D9E" w:rsidP="00242D8E">
      <w:pPr>
        <w:pStyle w:val="ListParagraph"/>
        <w:keepNext/>
        <w:numPr>
          <w:ilvl w:val="0"/>
          <w:numId w:val="22"/>
        </w:numPr>
        <w:rPr>
          <w:rFonts w:asciiTheme="minorHAnsi" w:hAnsiTheme="minorHAnsi"/>
          <w:sz w:val="22"/>
          <w:szCs w:val="22"/>
        </w:rPr>
      </w:pPr>
      <w:r w:rsidRPr="005A2659">
        <w:rPr>
          <w:rFonts w:asciiTheme="minorHAnsi" w:hAnsiTheme="minorHAnsi"/>
          <w:sz w:val="22"/>
          <w:szCs w:val="22"/>
        </w:rPr>
        <w:t xml:space="preserve">Consolidation - ability to increase the space utilisation efficiency in the data </w:t>
      </w:r>
      <w:proofErr w:type="spellStart"/>
      <w:r w:rsidRPr="005A2659">
        <w:rPr>
          <w:rFonts w:asciiTheme="minorHAnsi" w:hAnsiTheme="minorHAnsi"/>
          <w:sz w:val="22"/>
          <w:szCs w:val="22"/>
        </w:rPr>
        <w:t>center</w:t>
      </w:r>
      <w:proofErr w:type="spellEnd"/>
      <w:r w:rsidRPr="005A2659">
        <w:rPr>
          <w:rFonts w:asciiTheme="minorHAnsi" w:hAnsiTheme="minorHAnsi"/>
          <w:sz w:val="22"/>
          <w:szCs w:val="22"/>
        </w:rPr>
        <w:t xml:space="preserve"> and move resources to where they can most do the work.</w:t>
      </w:r>
    </w:p>
    <w:p w14:paraId="6D08B924" w14:textId="0778426F" w:rsidR="00104D9E" w:rsidRPr="005A2659" w:rsidRDefault="00104D9E" w:rsidP="00186851">
      <w:pPr>
        <w:pStyle w:val="ListParagraph"/>
        <w:keepNext/>
        <w:numPr>
          <w:ilvl w:val="0"/>
          <w:numId w:val="22"/>
        </w:numPr>
        <w:rPr>
          <w:rFonts w:asciiTheme="minorHAnsi" w:hAnsiTheme="minorHAnsi"/>
          <w:sz w:val="22"/>
          <w:szCs w:val="22"/>
        </w:rPr>
      </w:pPr>
      <w:r w:rsidRPr="005A2659">
        <w:rPr>
          <w:rFonts w:asciiTheme="minorHAnsi" w:hAnsiTheme="minorHAnsi"/>
          <w:sz w:val="22"/>
          <w:szCs w:val="22"/>
        </w:rPr>
        <w:t>Consistency - ability to develop a standard virtual server build that can be easily duplicated which will speed up server deployment.</w:t>
      </w:r>
    </w:p>
    <w:p w14:paraId="06925C16" w14:textId="43C3AD02" w:rsidR="00EC126C" w:rsidRPr="005A2659" w:rsidRDefault="00104D9E" w:rsidP="00EC126C">
      <w:pPr>
        <w:pStyle w:val="ListParagraph"/>
        <w:keepNext/>
        <w:numPr>
          <w:ilvl w:val="0"/>
          <w:numId w:val="22"/>
        </w:numPr>
        <w:rPr>
          <w:rFonts w:asciiTheme="minorHAnsi" w:hAnsiTheme="minorHAnsi" w:cstheme="minorBidi"/>
          <w:b/>
          <w:sz w:val="22"/>
          <w:szCs w:val="22"/>
        </w:rPr>
      </w:pPr>
      <w:r w:rsidRPr="005A2659">
        <w:rPr>
          <w:rFonts w:asciiTheme="minorHAnsi" w:hAnsiTheme="minorHAnsi"/>
          <w:sz w:val="22"/>
          <w:szCs w:val="22"/>
        </w:rPr>
        <w:t xml:space="preserve">Capability - ability to deploy multiple operating system technologies on a single hardware platform (i.e. Windows Server 2003, Linux, Windows 2000, </w:t>
      </w:r>
      <w:proofErr w:type="spellStart"/>
      <w:r w:rsidRPr="005A2659">
        <w:rPr>
          <w:rFonts w:asciiTheme="minorHAnsi" w:hAnsiTheme="minorHAnsi"/>
          <w:sz w:val="22"/>
          <w:szCs w:val="22"/>
        </w:rPr>
        <w:t>etc</w:t>
      </w:r>
      <w:proofErr w:type="spellEnd"/>
      <w:r w:rsidRPr="005A2659">
        <w:rPr>
          <w:rFonts w:asciiTheme="minorHAnsi" w:hAnsiTheme="minorHAnsi"/>
          <w:sz w:val="22"/>
          <w:szCs w:val="22"/>
        </w:rPr>
        <w:t>).</w:t>
      </w:r>
      <w:r w:rsidRPr="005A2659">
        <w:rPr>
          <w:rFonts w:asciiTheme="minorHAnsi" w:hAnsiTheme="minorHAnsi"/>
          <w:sz w:val="22"/>
          <w:szCs w:val="22"/>
        </w:rPr>
        <w:t xml:space="preserve"> </w:t>
      </w:r>
      <w:r w:rsidR="00EC126C" w:rsidRPr="005A2659">
        <w:rPr>
          <w:rFonts w:asciiTheme="minorHAnsi" w:hAnsiTheme="minorHAnsi"/>
          <w:sz w:val="22"/>
          <w:szCs w:val="22"/>
        </w:rPr>
        <w:t xml:space="preserve"> </w:t>
      </w:r>
      <w:r w:rsidR="00EC126C" w:rsidRPr="005A2659">
        <w:rPr>
          <w:rFonts w:asciiTheme="minorHAnsi" w:hAnsiTheme="minorHAnsi"/>
          <w:sz w:val="22"/>
          <w:szCs w:val="22"/>
        </w:rPr>
        <w:br/>
      </w:r>
      <w:r w:rsidR="00EC126C" w:rsidRPr="005A2659">
        <w:rPr>
          <w:rFonts w:asciiTheme="minorHAnsi" w:hAnsiTheme="minorHAnsi"/>
          <w:sz w:val="22"/>
          <w:szCs w:val="22"/>
        </w:rPr>
        <w:br/>
      </w:r>
    </w:p>
    <w:p w14:paraId="44D0F227" w14:textId="77777777" w:rsidR="00EC126C" w:rsidRPr="005A2659" w:rsidRDefault="00EC126C">
      <w:pPr>
        <w:spacing w:after="200" w:line="276" w:lineRule="auto"/>
        <w:rPr>
          <w:rFonts w:asciiTheme="minorHAnsi" w:hAnsiTheme="minorHAnsi" w:cstheme="minorBidi"/>
          <w:b/>
          <w:sz w:val="22"/>
          <w:szCs w:val="22"/>
        </w:rPr>
      </w:pPr>
      <w:r w:rsidRPr="005A2659">
        <w:rPr>
          <w:rFonts w:asciiTheme="minorHAnsi" w:hAnsiTheme="minorHAnsi" w:cstheme="minorBidi"/>
          <w:b/>
          <w:sz w:val="22"/>
          <w:szCs w:val="22"/>
        </w:rPr>
        <w:br w:type="page"/>
      </w:r>
    </w:p>
    <w:p w14:paraId="379755CF" w14:textId="77777777" w:rsidR="00A04442" w:rsidRPr="005A2659" w:rsidRDefault="00A04442" w:rsidP="00EC126C">
      <w:pPr>
        <w:pStyle w:val="ListParagraph"/>
        <w:keepNext/>
        <w:rPr>
          <w:rFonts w:asciiTheme="minorHAnsi" w:hAnsiTheme="minorHAnsi" w:cstheme="minorBidi"/>
          <w:b/>
          <w:sz w:val="22"/>
          <w:szCs w:val="22"/>
        </w:rPr>
      </w:pPr>
    </w:p>
    <w:p w14:paraId="64BFBA1C" w14:textId="0C6F21E9" w:rsidR="00EC126C" w:rsidRPr="005A2659" w:rsidRDefault="00EC126C" w:rsidP="00EC126C">
      <w:pPr>
        <w:keepNext/>
        <w:rPr>
          <w:rFonts w:asciiTheme="minorHAnsi" w:hAnsiTheme="minorHAnsi" w:cstheme="minorBidi"/>
          <w:sz w:val="22"/>
          <w:szCs w:val="22"/>
        </w:rPr>
      </w:pPr>
      <w:r w:rsidRPr="005A2659">
        <w:rPr>
          <w:rFonts w:asciiTheme="minorHAnsi" w:hAnsiTheme="minorHAnsi" w:cstheme="minorBidi"/>
          <w:b/>
          <w:sz w:val="22"/>
          <w:szCs w:val="22"/>
        </w:rPr>
        <w:t>INF107</w:t>
      </w:r>
      <w:r w:rsidR="00331A80" w:rsidRPr="005A2659">
        <w:rPr>
          <w:rFonts w:asciiTheme="minorHAnsi" w:hAnsiTheme="minorHAnsi" w:cstheme="minorBidi"/>
          <w:b/>
          <w:sz w:val="22"/>
          <w:szCs w:val="22"/>
        </w:rPr>
        <w:t xml:space="preserve"> - </w:t>
      </w:r>
      <w:r w:rsidRPr="005A2659">
        <w:rPr>
          <w:rFonts w:asciiTheme="minorHAnsi" w:hAnsiTheme="minorHAnsi" w:cstheme="minorBidi"/>
          <w:b/>
          <w:sz w:val="22"/>
          <w:szCs w:val="22"/>
        </w:rPr>
        <w:t>Environment Monitoring System - Assessment</w:t>
      </w:r>
      <w:r w:rsidR="00331A80" w:rsidRPr="005A2659">
        <w:rPr>
          <w:rFonts w:asciiTheme="minorHAnsi" w:hAnsiTheme="minorHAnsi" w:cstheme="minorBidi"/>
          <w:b/>
          <w:sz w:val="22"/>
          <w:szCs w:val="22"/>
        </w:rPr>
        <w:br/>
      </w:r>
      <w:r w:rsidRPr="005A2659">
        <w:rPr>
          <w:rFonts w:asciiTheme="minorHAnsi" w:hAnsiTheme="minorHAnsi" w:cstheme="minorBidi"/>
          <w:sz w:val="22"/>
          <w:szCs w:val="22"/>
        </w:rPr>
        <w:t xml:space="preserve">This project </w:t>
      </w:r>
      <w:r w:rsidRPr="005A2659">
        <w:rPr>
          <w:rFonts w:asciiTheme="minorHAnsi" w:hAnsiTheme="minorHAnsi" w:cstheme="minorBidi"/>
          <w:sz w:val="22"/>
          <w:szCs w:val="22"/>
        </w:rPr>
        <w:t xml:space="preserve">set out </w:t>
      </w:r>
      <w:r w:rsidR="005A2659" w:rsidRPr="005A2659">
        <w:rPr>
          <w:rFonts w:asciiTheme="minorHAnsi" w:hAnsiTheme="minorHAnsi" w:cstheme="minorBidi"/>
          <w:sz w:val="22"/>
          <w:szCs w:val="22"/>
        </w:rPr>
        <w:t>to identify</w:t>
      </w:r>
      <w:r w:rsidRPr="005A2659">
        <w:rPr>
          <w:rFonts w:asciiTheme="minorHAnsi" w:hAnsiTheme="minorHAnsi" w:cstheme="minorBidi"/>
          <w:sz w:val="22"/>
          <w:szCs w:val="22"/>
        </w:rPr>
        <w:t xml:space="preserve"> Academic institutions who have similar infrastructure and architecture to that running in Edinburgh University and who have also implemented solutions that deliver the key benefits we have identified in the appraisal.</w:t>
      </w:r>
    </w:p>
    <w:p w14:paraId="2A53C0C7" w14:textId="77777777" w:rsidR="00EC126C" w:rsidRPr="005A2659" w:rsidRDefault="00EC126C" w:rsidP="00EC126C">
      <w:pPr>
        <w:keepNext/>
        <w:rPr>
          <w:rFonts w:asciiTheme="minorHAnsi" w:hAnsiTheme="minorHAnsi" w:cstheme="minorBidi"/>
          <w:sz w:val="22"/>
          <w:szCs w:val="22"/>
        </w:rPr>
      </w:pPr>
    </w:p>
    <w:p w14:paraId="7A181612" w14:textId="77777777" w:rsidR="00EC126C" w:rsidRPr="005A2659" w:rsidRDefault="00EC126C" w:rsidP="00EC126C">
      <w:pPr>
        <w:keepNext/>
        <w:rPr>
          <w:rFonts w:asciiTheme="minorHAnsi" w:hAnsiTheme="minorHAnsi" w:cstheme="minorBidi"/>
          <w:sz w:val="22"/>
          <w:szCs w:val="22"/>
        </w:rPr>
      </w:pPr>
      <w:r w:rsidRPr="005A2659">
        <w:rPr>
          <w:rFonts w:asciiTheme="minorHAnsi" w:hAnsiTheme="minorHAnsi" w:cstheme="minorBidi"/>
          <w:sz w:val="22"/>
          <w:szCs w:val="22"/>
        </w:rPr>
        <w:t>This project w</w:t>
      </w:r>
      <w:r w:rsidRPr="005A2659">
        <w:rPr>
          <w:rFonts w:asciiTheme="minorHAnsi" w:hAnsiTheme="minorHAnsi" w:cstheme="minorBidi"/>
          <w:sz w:val="22"/>
          <w:szCs w:val="22"/>
        </w:rPr>
        <w:t>ould</w:t>
      </w:r>
      <w:r w:rsidRPr="005A2659">
        <w:rPr>
          <w:rFonts w:asciiTheme="minorHAnsi" w:hAnsiTheme="minorHAnsi" w:cstheme="minorBidi"/>
          <w:sz w:val="22"/>
          <w:szCs w:val="22"/>
        </w:rPr>
        <w:t xml:space="preserve"> make a recommendation based on the findings from the visits and any other R&amp;D undertaken in support, outlining what subsequent projects would do to deliver.</w:t>
      </w:r>
      <w:r w:rsidRPr="005A2659">
        <w:rPr>
          <w:rFonts w:asciiTheme="minorHAnsi" w:hAnsiTheme="minorHAnsi" w:cstheme="minorBidi"/>
          <w:sz w:val="22"/>
          <w:szCs w:val="22"/>
        </w:rPr>
        <w:t xml:space="preserve"> </w:t>
      </w:r>
    </w:p>
    <w:p w14:paraId="4F05DC5E" w14:textId="77777777" w:rsidR="00EC126C" w:rsidRPr="005A2659" w:rsidRDefault="00EC126C" w:rsidP="00EC126C">
      <w:pPr>
        <w:keepNext/>
        <w:rPr>
          <w:rFonts w:asciiTheme="minorHAnsi" w:hAnsiTheme="minorHAnsi" w:cstheme="minorBidi"/>
          <w:sz w:val="22"/>
          <w:szCs w:val="22"/>
        </w:rPr>
      </w:pPr>
      <w:r w:rsidRPr="005A2659">
        <w:rPr>
          <w:rFonts w:asciiTheme="minorHAnsi" w:hAnsiTheme="minorHAnsi" w:cstheme="minorBidi"/>
          <w:sz w:val="22"/>
          <w:szCs w:val="22"/>
        </w:rPr>
        <w:br/>
        <w:t>As it turned out, the project team recommended using an incumbent tool – SCOM – to underpin an</w:t>
      </w:r>
    </w:p>
    <w:p w14:paraId="78DCAF29" w14:textId="77777777" w:rsidR="00EC126C" w:rsidRPr="005A2659" w:rsidRDefault="00EC126C" w:rsidP="00EC126C">
      <w:pPr>
        <w:keepNext/>
        <w:rPr>
          <w:rFonts w:asciiTheme="minorHAnsi" w:hAnsiTheme="minorHAnsi" w:cstheme="minorBidi"/>
          <w:sz w:val="22"/>
          <w:szCs w:val="22"/>
        </w:rPr>
      </w:pPr>
      <w:r w:rsidRPr="005A2659">
        <w:rPr>
          <w:rFonts w:asciiTheme="minorHAnsi" w:hAnsiTheme="minorHAnsi" w:cstheme="minorBidi"/>
          <w:sz w:val="22"/>
          <w:szCs w:val="22"/>
        </w:rPr>
        <w:t>Organisational Change in the way services are monitored and maintained.</w:t>
      </w:r>
    </w:p>
    <w:p w14:paraId="2D379A9B" w14:textId="77777777" w:rsidR="00EC126C" w:rsidRPr="005A2659" w:rsidRDefault="00EC126C" w:rsidP="00EC126C">
      <w:pPr>
        <w:keepNext/>
        <w:rPr>
          <w:rFonts w:asciiTheme="minorHAnsi" w:hAnsiTheme="minorHAnsi" w:cstheme="minorBidi"/>
          <w:sz w:val="22"/>
          <w:szCs w:val="22"/>
        </w:rPr>
      </w:pPr>
    </w:p>
    <w:p w14:paraId="41C83C49" w14:textId="36A0573A" w:rsidR="00EC126C" w:rsidRPr="005A2659" w:rsidRDefault="00EC126C" w:rsidP="00EC126C">
      <w:pPr>
        <w:keepNext/>
        <w:rPr>
          <w:rFonts w:asciiTheme="minorHAnsi" w:hAnsiTheme="minorHAnsi" w:cstheme="minorBidi"/>
          <w:sz w:val="22"/>
          <w:szCs w:val="22"/>
        </w:rPr>
      </w:pPr>
      <w:r w:rsidRPr="005A2659">
        <w:rPr>
          <w:rFonts w:asciiTheme="minorHAnsi" w:hAnsiTheme="minorHAnsi" w:cstheme="minorBidi"/>
          <w:sz w:val="22"/>
          <w:szCs w:val="22"/>
        </w:rPr>
        <w:t>2015/16 will see a project to Pilot both SCOM and the Organisational Change (new roles) for a number of Services, before fuller adoption of tool and process.</w:t>
      </w:r>
    </w:p>
    <w:p w14:paraId="39BD84E7" w14:textId="77777777" w:rsidR="00EC126C" w:rsidRPr="005A2659" w:rsidRDefault="00EC126C" w:rsidP="00EC126C">
      <w:pPr>
        <w:keepNext/>
        <w:rPr>
          <w:rFonts w:asciiTheme="minorHAnsi" w:hAnsiTheme="minorHAnsi" w:cstheme="minorBidi"/>
          <w:sz w:val="22"/>
          <w:szCs w:val="22"/>
        </w:rPr>
      </w:pPr>
    </w:p>
    <w:p w14:paraId="2A5888F9" w14:textId="77777777" w:rsidR="006D4000" w:rsidRPr="005A2659" w:rsidRDefault="006D4000" w:rsidP="00F5077D">
      <w:pPr>
        <w:rPr>
          <w:rFonts w:asciiTheme="minorHAnsi" w:hAnsiTheme="minorHAnsi"/>
          <w:b/>
          <w:sz w:val="22"/>
          <w:szCs w:val="22"/>
        </w:rPr>
      </w:pPr>
    </w:p>
    <w:p w14:paraId="4A35585F" w14:textId="54B37574" w:rsidR="00EC126C" w:rsidRPr="005A2659" w:rsidRDefault="00EC126C" w:rsidP="00EC126C">
      <w:pPr>
        <w:rPr>
          <w:rFonts w:asciiTheme="minorHAnsi" w:hAnsiTheme="minorHAnsi" w:cstheme="minorBidi"/>
          <w:sz w:val="22"/>
          <w:szCs w:val="22"/>
        </w:rPr>
      </w:pPr>
      <w:r w:rsidRPr="005A2659">
        <w:rPr>
          <w:rFonts w:asciiTheme="minorHAnsi" w:hAnsiTheme="minorHAnsi"/>
          <w:b/>
          <w:sz w:val="22"/>
          <w:szCs w:val="22"/>
        </w:rPr>
        <w:t>INF108</w:t>
      </w:r>
      <w:r w:rsidR="00F5077D" w:rsidRPr="005A2659">
        <w:rPr>
          <w:rFonts w:asciiTheme="minorHAnsi" w:hAnsiTheme="minorHAnsi"/>
          <w:b/>
          <w:sz w:val="22"/>
          <w:szCs w:val="22"/>
        </w:rPr>
        <w:t xml:space="preserve"> - </w:t>
      </w:r>
      <w:r w:rsidRPr="005A2659">
        <w:rPr>
          <w:rFonts w:asciiTheme="minorHAnsi" w:hAnsiTheme="minorHAnsi"/>
          <w:b/>
          <w:sz w:val="22"/>
          <w:szCs w:val="22"/>
        </w:rPr>
        <w:t>Automated Server Builds</w:t>
      </w:r>
      <w:r w:rsidR="005A2659">
        <w:rPr>
          <w:rFonts w:asciiTheme="minorHAnsi" w:hAnsiTheme="minorHAnsi"/>
          <w:b/>
          <w:sz w:val="22"/>
          <w:szCs w:val="22"/>
        </w:rPr>
        <w:t xml:space="preserve"> (not closed</w:t>
      </w:r>
      <w:proofErr w:type="gramStart"/>
      <w:r w:rsidR="005A2659">
        <w:rPr>
          <w:rFonts w:asciiTheme="minorHAnsi" w:hAnsiTheme="minorHAnsi"/>
          <w:b/>
          <w:sz w:val="22"/>
          <w:szCs w:val="22"/>
        </w:rPr>
        <w:t>)</w:t>
      </w:r>
      <w:bookmarkStart w:id="0" w:name="_GoBack"/>
      <w:bookmarkEnd w:id="0"/>
      <w:proofErr w:type="gramEnd"/>
      <w:r w:rsidR="00F5077D" w:rsidRPr="005A2659">
        <w:rPr>
          <w:rFonts w:asciiTheme="minorHAnsi" w:hAnsiTheme="minorHAnsi"/>
          <w:b/>
          <w:sz w:val="22"/>
          <w:szCs w:val="22"/>
        </w:rPr>
        <w:br/>
      </w:r>
      <w:r w:rsidRPr="005A2659">
        <w:rPr>
          <w:rFonts w:asciiTheme="minorHAnsi" w:hAnsiTheme="minorHAnsi" w:cstheme="minorBidi"/>
          <w:sz w:val="22"/>
          <w:szCs w:val="22"/>
        </w:rPr>
        <w:t>Infrastructure configuration has traditionally been carried out by hand. This has had the unfortunate side effect of introducing unintentional differences in the builds of different machines. These differences are frequently the source of unreliability or failure in the infrastructure, and a means of automating builds should reduce or overcome these problems.</w:t>
      </w:r>
    </w:p>
    <w:p w14:paraId="7B8C1BFC" w14:textId="77777777" w:rsidR="00EC126C" w:rsidRPr="005A2659" w:rsidRDefault="00EC126C" w:rsidP="00EC126C">
      <w:pPr>
        <w:rPr>
          <w:rFonts w:asciiTheme="minorHAnsi" w:hAnsiTheme="minorHAnsi" w:cstheme="minorBidi"/>
          <w:sz w:val="22"/>
          <w:szCs w:val="22"/>
        </w:rPr>
      </w:pPr>
    </w:p>
    <w:p w14:paraId="491A8CD4" w14:textId="77777777" w:rsidR="00EC126C" w:rsidRPr="005A2659" w:rsidRDefault="00EC126C" w:rsidP="00EC126C">
      <w:pPr>
        <w:rPr>
          <w:rFonts w:asciiTheme="minorHAnsi" w:hAnsiTheme="minorHAnsi" w:cstheme="minorBidi"/>
          <w:sz w:val="22"/>
          <w:szCs w:val="22"/>
        </w:rPr>
      </w:pPr>
      <w:r w:rsidRPr="005A2659">
        <w:rPr>
          <w:rFonts w:asciiTheme="minorHAnsi" w:hAnsiTheme="minorHAnsi" w:cstheme="minorBidi"/>
          <w:sz w:val="22"/>
          <w:szCs w:val="22"/>
        </w:rPr>
        <w:t>Automation tools would provide a more agile means of provisioning servers and services on servers to make delivery more efficient and consistent. It would also provide more options in the event of a system corruption or disaster, providing the means to rebuild and restore services more quickly.</w:t>
      </w:r>
    </w:p>
    <w:p w14:paraId="1A998BA4" w14:textId="77777777" w:rsidR="00EC126C" w:rsidRPr="005A2659" w:rsidRDefault="00EC126C" w:rsidP="00EC126C">
      <w:pPr>
        <w:rPr>
          <w:rFonts w:asciiTheme="minorHAnsi" w:hAnsiTheme="minorHAnsi" w:cstheme="minorBidi"/>
          <w:sz w:val="22"/>
          <w:szCs w:val="22"/>
        </w:rPr>
      </w:pPr>
    </w:p>
    <w:p w14:paraId="58DC2EDD" w14:textId="13A82526" w:rsidR="00F5077D" w:rsidRPr="005A2659" w:rsidRDefault="00EC126C" w:rsidP="00EC126C">
      <w:pPr>
        <w:rPr>
          <w:rFonts w:asciiTheme="minorHAnsi" w:hAnsiTheme="minorHAnsi" w:cstheme="minorBidi"/>
          <w:sz w:val="22"/>
          <w:szCs w:val="22"/>
        </w:rPr>
      </w:pPr>
      <w:r w:rsidRPr="005A2659">
        <w:rPr>
          <w:rFonts w:asciiTheme="minorHAnsi" w:hAnsiTheme="minorHAnsi" w:cstheme="minorBidi"/>
          <w:sz w:val="22"/>
          <w:szCs w:val="22"/>
        </w:rPr>
        <w:t>ITI and Applications are in agreement that moving to a DevOps</w:t>
      </w:r>
      <w:r w:rsidRPr="005A2659">
        <w:rPr>
          <w:rFonts w:asciiTheme="minorHAnsi" w:hAnsiTheme="minorHAnsi" w:cstheme="minorBidi"/>
          <w:sz w:val="22"/>
          <w:szCs w:val="22"/>
        </w:rPr>
        <w:t xml:space="preserve"> </w:t>
      </w:r>
      <w:r w:rsidRPr="005A2659">
        <w:rPr>
          <w:rFonts w:asciiTheme="minorHAnsi" w:hAnsiTheme="minorHAnsi" w:cstheme="minorBidi"/>
          <w:sz w:val="22"/>
          <w:szCs w:val="22"/>
        </w:rPr>
        <w:t>environment would be greatly beneficial to all parties, being both more efficient and elegant. This requires a sea change in working from both ITI and Applications and will require buy-in from senior management in both divisions.</w:t>
      </w:r>
    </w:p>
    <w:p w14:paraId="6D11F376" w14:textId="03736859" w:rsidR="00EC126C" w:rsidRPr="00EC126C" w:rsidRDefault="00EC126C" w:rsidP="00EC126C">
      <w:pPr>
        <w:spacing w:before="100" w:beforeAutospacing="1" w:after="100" w:afterAutospacing="1"/>
        <w:rPr>
          <w:rFonts w:asciiTheme="minorHAnsi" w:eastAsia="Times New Roman" w:hAnsiTheme="minorHAnsi"/>
          <w:lang w:eastAsia="en-GB"/>
        </w:rPr>
      </w:pPr>
      <w:r w:rsidRPr="00EC126C">
        <w:rPr>
          <w:rFonts w:asciiTheme="minorHAnsi" w:eastAsia="Times New Roman" w:hAnsiTheme="minorHAnsi"/>
          <w:lang w:eastAsia="en-GB"/>
        </w:rPr>
        <w:t xml:space="preserve">The project </w:t>
      </w:r>
      <w:r w:rsidR="005A2659">
        <w:rPr>
          <w:rFonts w:asciiTheme="minorHAnsi" w:eastAsia="Times New Roman" w:hAnsiTheme="minorHAnsi"/>
          <w:lang w:eastAsia="en-GB"/>
        </w:rPr>
        <w:t xml:space="preserve">will </w:t>
      </w:r>
      <w:r w:rsidRPr="005A2659">
        <w:rPr>
          <w:rFonts w:asciiTheme="minorHAnsi" w:eastAsia="Times New Roman" w:hAnsiTheme="minorHAnsi"/>
          <w:lang w:eastAsia="en-GB"/>
        </w:rPr>
        <w:t>deliver</w:t>
      </w:r>
      <w:r w:rsidRPr="00EC126C">
        <w:rPr>
          <w:rFonts w:asciiTheme="minorHAnsi" w:eastAsia="Times New Roman" w:hAnsiTheme="minorHAnsi"/>
          <w:lang w:eastAsia="en-GB"/>
        </w:rPr>
        <w:t xml:space="preserve"> the following benefits to ITI and IS Applications:</w:t>
      </w:r>
    </w:p>
    <w:p w14:paraId="64B5DDB7" w14:textId="77777777" w:rsidR="00EC126C" w:rsidRPr="00EC126C" w:rsidRDefault="00EC126C" w:rsidP="00EC126C">
      <w:pPr>
        <w:numPr>
          <w:ilvl w:val="0"/>
          <w:numId w:val="26"/>
        </w:numPr>
        <w:spacing w:before="100" w:beforeAutospacing="1" w:after="100" w:afterAutospacing="1"/>
        <w:rPr>
          <w:rFonts w:asciiTheme="minorHAnsi" w:eastAsia="Times New Roman" w:hAnsiTheme="minorHAnsi"/>
          <w:lang w:eastAsia="en-GB"/>
        </w:rPr>
      </w:pPr>
      <w:r w:rsidRPr="00EC126C">
        <w:rPr>
          <w:rFonts w:asciiTheme="minorHAnsi" w:eastAsia="Times New Roman" w:hAnsiTheme="minorHAnsi"/>
          <w:lang w:eastAsia="en-GB"/>
        </w:rPr>
        <w:t>Rapid deployment of technology</w:t>
      </w:r>
    </w:p>
    <w:p w14:paraId="3007AC65" w14:textId="77777777" w:rsidR="00EC126C" w:rsidRPr="00EC126C" w:rsidRDefault="00EC126C" w:rsidP="00EC126C">
      <w:pPr>
        <w:numPr>
          <w:ilvl w:val="0"/>
          <w:numId w:val="26"/>
        </w:numPr>
        <w:spacing w:before="100" w:beforeAutospacing="1" w:after="100" w:afterAutospacing="1"/>
        <w:rPr>
          <w:rFonts w:asciiTheme="minorHAnsi" w:eastAsia="Times New Roman" w:hAnsiTheme="minorHAnsi"/>
          <w:lang w:eastAsia="en-GB"/>
        </w:rPr>
      </w:pPr>
      <w:r w:rsidRPr="00EC126C">
        <w:rPr>
          <w:rFonts w:asciiTheme="minorHAnsi" w:eastAsia="Times New Roman" w:hAnsiTheme="minorHAnsi"/>
          <w:lang w:eastAsia="en-GB"/>
        </w:rPr>
        <w:t>Reduced deployment costs</w:t>
      </w:r>
    </w:p>
    <w:p w14:paraId="316D5C49" w14:textId="77777777" w:rsidR="00EC126C" w:rsidRPr="00EC126C" w:rsidRDefault="00EC126C" w:rsidP="00EC126C">
      <w:pPr>
        <w:numPr>
          <w:ilvl w:val="0"/>
          <w:numId w:val="26"/>
        </w:numPr>
        <w:spacing w:before="100" w:beforeAutospacing="1" w:after="100" w:afterAutospacing="1"/>
        <w:rPr>
          <w:rFonts w:asciiTheme="minorHAnsi" w:eastAsia="Times New Roman" w:hAnsiTheme="minorHAnsi"/>
          <w:lang w:eastAsia="en-GB"/>
        </w:rPr>
      </w:pPr>
      <w:r w:rsidRPr="00EC126C">
        <w:rPr>
          <w:rFonts w:asciiTheme="minorHAnsi" w:eastAsia="Times New Roman" w:hAnsiTheme="minorHAnsi"/>
          <w:lang w:eastAsia="en-GB"/>
        </w:rPr>
        <w:t>Reduced inaccuracies in system builds</w:t>
      </w:r>
    </w:p>
    <w:p w14:paraId="4B7A1BD5" w14:textId="77777777" w:rsidR="00EC126C" w:rsidRPr="00EC126C" w:rsidRDefault="00EC126C" w:rsidP="00EC126C">
      <w:pPr>
        <w:numPr>
          <w:ilvl w:val="0"/>
          <w:numId w:val="26"/>
        </w:numPr>
        <w:spacing w:before="100" w:beforeAutospacing="1" w:after="100" w:afterAutospacing="1"/>
        <w:rPr>
          <w:rFonts w:asciiTheme="minorHAnsi" w:eastAsia="Times New Roman" w:hAnsiTheme="minorHAnsi"/>
          <w:lang w:eastAsia="en-GB"/>
        </w:rPr>
      </w:pPr>
      <w:r w:rsidRPr="00EC126C">
        <w:rPr>
          <w:rFonts w:asciiTheme="minorHAnsi" w:eastAsia="Times New Roman" w:hAnsiTheme="minorHAnsi"/>
          <w:lang w:eastAsia="en-GB"/>
        </w:rPr>
        <w:t>Increased build repeatability</w:t>
      </w:r>
    </w:p>
    <w:p w14:paraId="268AA6E0" w14:textId="77777777" w:rsidR="00EC126C" w:rsidRPr="00EC126C" w:rsidRDefault="00EC126C" w:rsidP="00EC126C">
      <w:pPr>
        <w:numPr>
          <w:ilvl w:val="0"/>
          <w:numId w:val="26"/>
        </w:numPr>
        <w:spacing w:before="100" w:beforeAutospacing="1" w:after="100" w:afterAutospacing="1"/>
        <w:rPr>
          <w:rFonts w:asciiTheme="minorHAnsi" w:eastAsia="Times New Roman" w:hAnsiTheme="minorHAnsi"/>
          <w:lang w:eastAsia="en-GB"/>
        </w:rPr>
      </w:pPr>
      <w:r w:rsidRPr="00EC126C">
        <w:rPr>
          <w:rFonts w:asciiTheme="minorHAnsi" w:eastAsia="Times New Roman" w:hAnsiTheme="minorHAnsi"/>
          <w:lang w:eastAsia="en-GB"/>
        </w:rPr>
        <w:t>Increased confidence in using configuration management tools</w:t>
      </w:r>
    </w:p>
    <w:p w14:paraId="3030B9D1" w14:textId="77777777" w:rsidR="00EC126C" w:rsidRPr="00EC126C" w:rsidRDefault="00EC126C" w:rsidP="00EC126C">
      <w:pPr>
        <w:numPr>
          <w:ilvl w:val="0"/>
          <w:numId w:val="26"/>
        </w:numPr>
        <w:spacing w:before="100" w:beforeAutospacing="1" w:after="100" w:afterAutospacing="1"/>
        <w:rPr>
          <w:rFonts w:asciiTheme="minorHAnsi" w:eastAsia="Times New Roman" w:hAnsiTheme="minorHAnsi"/>
          <w:lang w:eastAsia="en-GB"/>
        </w:rPr>
      </w:pPr>
      <w:r w:rsidRPr="00EC126C">
        <w:rPr>
          <w:rFonts w:asciiTheme="minorHAnsi" w:eastAsia="Times New Roman" w:hAnsiTheme="minorHAnsi"/>
          <w:lang w:eastAsia="en-GB"/>
        </w:rPr>
        <w:t>Reduced total costs of system builds</w:t>
      </w:r>
    </w:p>
    <w:p w14:paraId="5855439E" w14:textId="77777777" w:rsidR="00EC126C" w:rsidRPr="00EC126C" w:rsidRDefault="00EC126C" w:rsidP="00EC126C">
      <w:pPr>
        <w:numPr>
          <w:ilvl w:val="0"/>
          <w:numId w:val="26"/>
        </w:numPr>
        <w:spacing w:before="100" w:beforeAutospacing="1" w:after="100" w:afterAutospacing="1"/>
        <w:rPr>
          <w:rFonts w:asciiTheme="minorHAnsi" w:eastAsia="Times New Roman" w:hAnsiTheme="minorHAnsi"/>
          <w:lang w:eastAsia="en-GB"/>
        </w:rPr>
      </w:pPr>
      <w:r w:rsidRPr="00EC126C">
        <w:rPr>
          <w:rFonts w:asciiTheme="minorHAnsi" w:eastAsia="Times New Roman" w:hAnsiTheme="minorHAnsi"/>
          <w:lang w:eastAsia="en-GB"/>
        </w:rPr>
        <w:t>Rapid recovery to previous state</w:t>
      </w:r>
    </w:p>
    <w:p w14:paraId="5A0FE32E" w14:textId="77777777" w:rsidR="00EC126C" w:rsidRPr="00EC126C" w:rsidRDefault="00EC126C" w:rsidP="00EC126C">
      <w:pPr>
        <w:numPr>
          <w:ilvl w:val="0"/>
          <w:numId w:val="26"/>
        </w:numPr>
        <w:spacing w:before="100" w:beforeAutospacing="1" w:after="100" w:afterAutospacing="1"/>
        <w:rPr>
          <w:rFonts w:asciiTheme="minorHAnsi" w:eastAsia="Times New Roman" w:hAnsiTheme="minorHAnsi"/>
          <w:lang w:eastAsia="en-GB"/>
        </w:rPr>
      </w:pPr>
      <w:r w:rsidRPr="00EC126C">
        <w:rPr>
          <w:rFonts w:asciiTheme="minorHAnsi" w:eastAsia="Times New Roman" w:hAnsiTheme="minorHAnsi"/>
          <w:lang w:eastAsia="en-GB"/>
        </w:rPr>
        <w:t>Reduced support costs to IS Apps and IS ITI</w:t>
      </w:r>
    </w:p>
    <w:p w14:paraId="2E8B534C" w14:textId="7D76DB05" w:rsidR="00EC126C" w:rsidRDefault="00EC126C" w:rsidP="00EC126C">
      <w:pPr>
        <w:numPr>
          <w:ilvl w:val="0"/>
          <w:numId w:val="26"/>
        </w:numPr>
        <w:spacing w:before="100" w:beforeAutospacing="1" w:after="100" w:afterAutospacing="1"/>
        <w:rPr>
          <w:rFonts w:asciiTheme="minorHAnsi" w:eastAsia="Times New Roman" w:hAnsiTheme="minorHAnsi"/>
          <w:lang w:eastAsia="en-GB"/>
        </w:rPr>
      </w:pPr>
      <w:r w:rsidRPr="00EC126C">
        <w:rPr>
          <w:rFonts w:asciiTheme="minorHAnsi" w:eastAsia="Times New Roman" w:hAnsiTheme="minorHAnsi"/>
          <w:lang w:eastAsia="en-GB"/>
        </w:rPr>
        <w:t>Support for high scalability</w:t>
      </w:r>
      <w:r w:rsidR="005A2659">
        <w:rPr>
          <w:rFonts w:asciiTheme="minorHAnsi" w:eastAsia="Times New Roman" w:hAnsiTheme="minorHAnsi"/>
          <w:lang w:eastAsia="en-GB"/>
        </w:rPr>
        <w:br/>
      </w:r>
    </w:p>
    <w:p w14:paraId="53BD53F7" w14:textId="214AFC08" w:rsidR="005A2659" w:rsidRPr="00EC126C" w:rsidRDefault="005A2659" w:rsidP="005A2659">
      <w:pPr>
        <w:spacing w:before="100" w:beforeAutospacing="1" w:after="100" w:afterAutospacing="1"/>
        <w:rPr>
          <w:rFonts w:asciiTheme="minorHAnsi" w:eastAsia="Times New Roman" w:hAnsiTheme="minorHAnsi"/>
          <w:lang w:eastAsia="en-GB"/>
        </w:rPr>
      </w:pPr>
      <w:r>
        <w:rPr>
          <w:rFonts w:asciiTheme="minorHAnsi" w:eastAsia="Times New Roman" w:hAnsiTheme="minorHAnsi"/>
          <w:lang w:eastAsia="en-GB"/>
        </w:rPr>
        <w:t>The technologies have been delivered, and only the final report with recommendations for IT and Apps remains to complete and be approved. Expected to close project by end of August.</w:t>
      </w:r>
    </w:p>
    <w:p w14:paraId="6F39594C" w14:textId="77777777" w:rsidR="006D4000" w:rsidRPr="005A2659" w:rsidRDefault="006D4000" w:rsidP="00A04442">
      <w:pPr>
        <w:keepNext/>
        <w:rPr>
          <w:rFonts w:asciiTheme="minorHAnsi" w:hAnsiTheme="minorHAnsi"/>
          <w:b/>
          <w:sz w:val="22"/>
          <w:szCs w:val="22"/>
        </w:rPr>
      </w:pPr>
    </w:p>
    <w:p w14:paraId="28E4173A" w14:textId="6459BFDA" w:rsidR="00EC126C" w:rsidRPr="005A2659" w:rsidRDefault="00EC126C" w:rsidP="00EC126C">
      <w:pPr>
        <w:keepNext/>
        <w:rPr>
          <w:rFonts w:asciiTheme="minorHAnsi" w:hAnsiTheme="minorHAnsi" w:cstheme="minorBidi"/>
          <w:sz w:val="22"/>
          <w:szCs w:val="22"/>
        </w:rPr>
      </w:pPr>
      <w:r w:rsidRPr="005A2659">
        <w:rPr>
          <w:rFonts w:asciiTheme="minorHAnsi" w:hAnsiTheme="minorHAnsi"/>
          <w:b/>
          <w:sz w:val="22"/>
          <w:szCs w:val="22"/>
        </w:rPr>
        <w:t xml:space="preserve">INF109 </w:t>
      </w:r>
      <w:r w:rsidR="00A04442" w:rsidRPr="005A2659">
        <w:rPr>
          <w:rFonts w:asciiTheme="minorHAnsi" w:hAnsiTheme="minorHAnsi"/>
          <w:b/>
          <w:sz w:val="22"/>
          <w:szCs w:val="22"/>
        </w:rPr>
        <w:t xml:space="preserve">- </w:t>
      </w:r>
      <w:r w:rsidRPr="005A2659">
        <w:rPr>
          <w:rFonts w:asciiTheme="minorHAnsi" w:hAnsiTheme="minorHAnsi"/>
          <w:b/>
          <w:sz w:val="22"/>
          <w:szCs w:val="22"/>
        </w:rPr>
        <w:t>Annual upgrades of development tools (JIRA/Bamboo</w:t>
      </w:r>
      <w:proofErr w:type="gramStart"/>
      <w:r w:rsidRPr="005A2659">
        <w:rPr>
          <w:rFonts w:asciiTheme="minorHAnsi" w:hAnsiTheme="minorHAnsi"/>
          <w:b/>
          <w:sz w:val="22"/>
          <w:szCs w:val="22"/>
        </w:rPr>
        <w:t>)</w:t>
      </w:r>
      <w:proofErr w:type="gramEnd"/>
      <w:r w:rsidR="00855B46" w:rsidRPr="005A2659">
        <w:rPr>
          <w:rFonts w:asciiTheme="minorHAnsi" w:hAnsiTheme="minorHAnsi"/>
          <w:b/>
          <w:sz w:val="22"/>
          <w:szCs w:val="22"/>
        </w:rPr>
        <w:br/>
      </w:r>
      <w:r w:rsidRPr="005A2659">
        <w:rPr>
          <w:rFonts w:asciiTheme="minorHAnsi" w:hAnsiTheme="minorHAnsi" w:cstheme="minorBidi"/>
          <w:sz w:val="22"/>
          <w:szCs w:val="22"/>
        </w:rPr>
        <w:t>The Division has built up reliance on a number of key products over the years to assist in project and service delivery.</w:t>
      </w:r>
      <w:r w:rsidRPr="005A2659">
        <w:rPr>
          <w:rFonts w:asciiTheme="minorHAnsi" w:hAnsiTheme="minorHAnsi" w:cstheme="minorBidi"/>
          <w:sz w:val="22"/>
          <w:szCs w:val="22"/>
        </w:rPr>
        <w:t xml:space="preserve"> </w:t>
      </w:r>
      <w:r w:rsidRPr="005A2659">
        <w:rPr>
          <w:rFonts w:asciiTheme="minorHAnsi" w:hAnsiTheme="minorHAnsi" w:cstheme="minorBidi"/>
          <w:sz w:val="22"/>
          <w:szCs w:val="22"/>
        </w:rPr>
        <w:t>This project upgrade</w:t>
      </w:r>
      <w:r w:rsidRPr="005A2659">
        <w:rPr>
          <w:rFonts w:asciiTheme="minorHAnsi" w:hAnsiTheme="minorHAnsi" w:cstheme="minorBidi"/>
          <w:sz w:val="22"/>
          <w:szCs w:val="22"/>
        </w:rPr>
        <w:t>d these products as required.</w:t>
      </w:r>
    </w:p>
    <w:p w14:paraId="515BCD7B" w14:textId="77777777" w:rsidR="00EC126C" w:rsidRPr="005A2659" w:rsidRDefault="00EC126C" w:rsidP="00EC126C">
      <w:pPr>
        <w:keepNext/>
        <w:rPr>
          <w:rFonts w:asciiTheme="minorHAnsi" w:hAnsiTheme="minorHAnsi" w:cstheme="minorBidi"/>
          <w:sz w:val="22"/>
          <w:szCs w:val="22"/>
        </w:rPr>
      </w:pPr>
    </w:p>
    <w:p w14:paraId="49E6D77A" w14:textId="77777777" w:rsidR="00EC126C" w:rsidRPr="005A2659" w:rsidRDefault="00EC126C" w:rsidP="00EC126C">
      <w:pPr>
        <w:keepNext/>
        <w:rPr>
          <w:rFonts w:asciiTheme="minorHAnsi" w:hAnsiTheme="minorHAnsi" w:cstheme="minorBidi"/>
          <w:sz w:val="22"/>
          <w:szCs w:val="22"/>
        </w:rPr>
      </w:pPr>
      <w:r w:rsidRPr="005A2659">
        <w:rPr>
          <w:rFonts w:asciiTheme="minorHAnsi" w:hAnsiTheme="minorHAnsi" w:cstheme="minorBidi"/>
          <w:sz w:val="22"/>
          <w:szCs w:val="22"/>
        </w:rPr>
        <w:t>JIRA</w:t>
      </w:r>
    </w:p>
    <w:p w14:paraId="70739F0C" w14:textId="77777777" w:rsidR="00EC126C" w:rsidRPr="005A2659" w:rsidRDefault="00EC126C" w:rsidP="00EC126C">
      <w:pPr>
        <w:keepNext/>
        <w:rPr>
          <w:rFonts w:asciiTheme="minorHAnsi" w:hAnsiTheme="minorHAnsi" w:cstheme="minorBidi"/>
          <w:sz w:val="22"/>
          <w:szCs w:val="22"/>
        </w:rPr>
      </w:pPr>
      <w:r w:rsidRPr="005A2659">
        <w:rPr>
          <w:rFonts w:asciiTheme="minorHAnsi" w:hAnsiTheme="minorHAnsi" w:cstheme="minorBidi"/>
          <w:sz w:val="22"/>
          <w:szCs w:val="22"/>
        </w:rPr>
        <w:t>JIRA Agile</w:t>
      </w:r>
    </w:p>
    <w:p w14:paraId="676BB649" w14:textId="77777777" w:rsidR="00EC126C" w:rsidRPr="005A2659" w:rsidRDefault="00EC126C" w:rsidP="00EC126C">
      <w:pPr>
        <w:keepNext/>
        <w:rPr>
          <w:rFonts w:asciiTheme="minorHAnsi" w:hAnsiTheme="minorHAnsi" w:cstheme="minorBidi"/>
          <w:sz w:val="22"/>
          <w:szCs w:val="22"/>
        </w:rPr>
      </w:pPr>
      <w:r w:rsidRPr="005A2659">
        <w:rPr>
          <w:rFonts w:asciiTheme="minorHAnsi" w:hAnsiTheme="minorHAnsi" w:cstheme="minorBidi"/>
          <w:sz w:val="22"/>
          <w:szCs w:val="22"/>
        </w:rPr>
        <w:t>Bamboo</w:t>
      </w:r>
    </w:p>
    <w:p w14:paraId="2A3CF985" w14:textId="77777777" w:rsidR="00EC126C" w:rsidRPr="005A2659" w:rsidRDefault="00EC126C" w:rsidP="00EC126C">
      <w:pPr>
        <w:keepNext/>
        <w:rPr>
          <w:rFonts w:asciiTheme="minorHAnsi" w:hAnsiTheme="minorHAnsi" w:cstheme="minorBidi"/>
          <w:sz w:val="22"/>
          <w:szCs w:val="22"/>
        </w:rPr>
      </w:pPr>
    </w:p>
    <w:p w14:paraId="55FCE64C" w14:textId="77777777" w:rsidR="00383FC5" w:rsidRPr="005A2659" w:rsidRDefault="00383FC5" w:rsidP="00383FC5">
      <w:pPr>
        <w:keepNext/>
        <w:rPr>
          <w:rFonts w:asciiTheme="minorHAnsi" w:hAnsiTheme="minorHAnsi"/>
          <w:sz w:val="22"/>
          <w:szCs w:val="22"/>
        </w:rPr>
      </w:pPr>
    </w:p>
    <w:p w14:paraId="09141066" w14:textId="2BBC5295" w:rsidR="00733356" w:rsidRPr="005A2659" w:rsidRDefault="00EC126C">
      <w:pPr>
        <w:rPr>
          <w:rFonts w:asciiTheme="minorHAnsi" w:hAnsiTheme="minorHAnsi"/>
          <w:b/>
          <w:sz w:val="22"/>
          <w:szCs w:val="22"/>
        </w:rPr>
      </w:pPr>
      <w:r w:rsidRPr="005A2659">
        <w:rPr>
          <w:rFonts w:asciiTheme="minorHAnsi" w:hAnsiTheme="minorHAnsi"/>
          <w:b/>
          <w:sz w:val="22"/>
          <w:szCs w:val="22"/>
        </w:rPr>
        <w:t>Maurice Franceschi</w:t>
      </w:r>
      <w:r w:rsidR="006D656E" w:rsidRPr="005A2659">
        <w:rPr>
          <w:rFonts w:asciiTheme="minorHAnsi" w:hAnsiTheme="minorHAnsi"/>
          <w:b/>
          <w:sz w:val="22"/>
          <w:szCs w:val="22"/>
        </w:rPr>
        <w:br/>
        <w:t>Programme Manager</w:t>
      </w:r>
    </w:p>
    <w:sectPr w:rsidR="00733356" w:rsidRPr="005A265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B5C8A"/>
    <w:multiLevelType w:val="hybridMultilevel"/>
    <w:tmpl w:val="B9022E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046253"/>
    <w:multiLevelType w:val="multilevel"/>
    <w:tmpl w:val="C5CE1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CA41BF"/>
    <w:multiLevelType w:val="hybridMultilevel"/>
    <w:tmpl w:val="F42E2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C2025A"/>
    <w:multiLevelType w:val="hybridMultilevel"/>
    <w:tmpl w:val="D954EF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744798"/>
    <w:multiLevelType w:val="multilevel"/>
    <w:tmpl w:val="879AC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F41365"/>
    <w:multiLevelType w:val="hybridMultilevel"/>
    <w:tmpl w:val="9DC06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4C2E2A"/>
    <w:multiLevelType w:val="multilevel"/>
    <w:tmpl w:val="98B4B9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2567849"/>
    <w:multiLevelType w:val="hybridMultilevel"/>
    <w:tmpl w:val="B8562D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E44035"/>
    <w:multiLevelType w:val="hybridMultilevel"/>
    <w:tmpl w:val="BFDCE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1A768F"/>
    <w:multiLevelType w:val="hybridMultilevel"/>
    <w:tmpl w:val="55A61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D028BF"/>
    <w:multiLevelType w:val="hybridMultilevel"/>
    <w:tmpl w:val="D93EE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531CC4"/>
    <w:multiLevelType w:val="hybridMultilevel"/>
    <w:tmpl w:val="C9D0B4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416315"/>
    <w:multiLevelType w:val="hybridMultilevel"/>
    <w:tmpl w:val="E6D41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545183"/>
    <w:multiLevelType w:val="hybridMultilevel"/>
    <w:tmpl w:val="B38A5D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B014483"/>
    <w:multiLevelType w:val="hybridMultilevel"/>
    <w:tmpl w:val="49407A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49C52AF"/>
    <w:multiLevelType w:val="multilevel"/>
    <w:tmpl w:val="A0008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5B91CF1"/>
    <w:multiLevelType w:val="multilevel"/>
    <w:tmpl w:val="17406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9A63BF8"/>
    <w:multiLevelType w:val="hybridMultilevel"/>
    <w:tmpl w:val="A236A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B7D2DAD"/>
    <w:multiLevelType w:val="hybridMultilevel"/>
    <w:tmpl w:val="222EA4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C6457B7"/>
    <w:multiLevelType w:val="hybridMultilevel"/>
    <w:tmpl w:val="966656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4161AB7"/>
    <w:multiLevelType w:val="hybridMultilevel"/>
    <w:tmpl w:val="395A79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5671B4C"/>
    <w:multiLevelType w:val="multilevel"/>
    <w:tmpl w:val="B2389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D740548"/>
    <w:multiLevelType w:val="multilevel"/>
    <w:tmpl w:val="7DFA6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CAF4C27"/>
    <w:multiLevelType w:val="multilevel"/>
    <w:tmpl w:val="90FC8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1690D1A"/>
    <w:multiLevelType w:val="hybridMultilevel"/>
    <w:tmpl w:val="C3447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E822285"/>
    <w:multiLevelType w:val="hybridMultilevel"/>
    <w:tmpl w:val="08446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7"/>
  </w:num>
  <w:num w:numId="3">
    <w:abstractNumId w:val="0"/>
  </w:num>
  <w:num w:numId="4">
    <w:abstractNumId w:val="7"/>
  </w:num>
  <w:num w:numId="5">
    <w:abstractNumId w:val="25"/>
  </w:num>
  <w:num w:numId="6">
    <w:abstractNumId w:val="11"/>
  </w:num>
  <w:num w:numId="7">
    <w:abstractNumId w:val="18"/>
  </w:num>
  <w:num w:numId="8">
    <w:abstractNumId w:val="2"/>
  </w:num>
  <w:num w:numId="9">
    <w:abstractNumId w:val="8"/>
  </w:num>
  <w:num w:numId="10">
    <w:abstractNumId w:val="19"/>
  </w:num>
  <w:num w:numId="11">
    <w:abstractNumId w:val="14"/>
  </w:num>
  <w:num w:numId="12">
    <w:abstractNumId w:val="13"/>
  </w:num>
  <w:num w:numId="13">
    <w:abstractNumId w:val="20"/>
  </w:num>
  <w:num w:numId="14">
    <w:abstractNumId w:val="5"/>
  </w:num>
  <w:num w:numId="15">
    <w:abstractNumId w:val="23"/>
  </w:num>
  <w:num w:numId="16">
    <w:abstractNumId w:val="9"/>
  </w:num>
  <w:num w:numId="17">
    <w:abstractNumId w:val="21"/>
  </w:num>
  <w:num w:numId="18">
    <w:abstractNumId w:val="22"/>
  </w:num>
  <w:num w:numId="19">
    <w:abstractNumId w:val="1"/>
  </w:num>
  <w:num w:numId="20">
    <w:abstractNumId w:val="16"/>
  </w:num>
  <w:num w:numId="21">
    <w:abstractNumId w:val="12"/>
  </w:num>
  <w:num w:numId="22">
    <w:abstractNumId w:val="24"/>
  </w:num>
  <w:num w:numId="23">
    <w:abstractNumId w:val="6"/>
  </w:num>
  <w:num w:numId="24">
    <w:abstractNumId w:val="10"/>
  </w:num>
  <w:num w:numId="25">
    <w:abstractNumId w:val="4"/>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0EC9"/>
    <w:rsid w:val="00013393"/>
    <w:rsid w:val="00030EC9"/>
    <w:rsid w:val="00051AE6"/>
    <w:rsid w:val="00052487"/>
    <w:rsid w:val="000C2B45"/>
    <w:rsid w:val="000D2811"/>
    <w:rsid w:val="00104991"/>
    <w:rsid w:val="00104D9E"/>
    <w:rsid w:val="00121842"/>
    <w:rsid w:val="00133167"/>
    <w:rsid w:val="001474BC"/>
    <w:rsid w:val="001718DD"/>
    <w:rsid w:val="001A51F0"/>
    <w:rsid w:val="001E1C22"/>
    <w:rsid w:val="00216863"/>
    <w:rsid w:val="00236A41"/>
    <w:rsid w:val="00262B39"/>
    <w:rsid w:val="002D08D2"/>
    <w:rsid w:val="002E4AB2"/>
    <w:rsid w:val="002E7214"/>
    <w:rsid w:val="00331A80"/>
    <w:rsid w:val="00352982"/>
    <w:rsid w:val="00354C8C"/>
    <w:rsid w:val="00364CD4"/>
    <w:rsid w:val="003774B3"/>
    <w:rsid w:val="00383FC5"/>
    <w:rsid w:val="003C47FA"/>
    <w:rsid w:val="003E286C"/>
    <w:rsid w:val="003F64BC"/>
    <w:rsid w:val="00455A88"/>
    <w:rsid w:val="00472549"/>
    <w:rsid w:val="0049441B"/>
    <w:rsid w:val="0053750A"/>
    <w:rsid w:val="00551038"/>
    <w:rsid w:val="005A2659"/>
    <w:rsid w:val="005D1A26"/>
    <w:rsid w:val="005E65AB"/>
    <w:rsid w:val="005F1656"/>
    <w:rsid w:val="005F6399"/>
    <w:rsid w:val="006B1A5E"/>
    <w:rsid w:val="006C5285"/>
    <w:rsid w:val="006D4000"/>
    <w:rsid w:val="006D656E"/>
    <w:rsid w:val="006D7D45"/>
    <w:rsid w:val="00733356"/>
    <w:rsid w:val="007425D6"/>
    <w:rsid w:val="007B5EBD"/>
    <w:rsid w:val="007C1729"/>
    <w:rsid w:val="007D2941"/>
    <w:rsid w:val="00802363"/>
    <w:rsid w:val="00833938"/>
    <w:rsid w:val="00846B27"/>
    <w:rsid w:val="00855B46"/>
    <w:rsid w:val="00860E45"/>
    <w:rsid w:val="00862851"/>
    <w:rsid w:val="008878B0"/>
    <w:rsid w:val="008B3FCB"/>
    <w:rsid w:val="008D2FE8"/>
    <w:rsid w:val="009525ED"/>
    <w:rsid w:val="00955A4D"/>
    <w:rsid w:val="0097621A"/>
    <w:rsid w:val="009D4F96"/>
    <w:rsid w:val="009F178A"/>
    <w:rsid w:val="00A035AB"/>
    <w:rsid w:val="00A04442"/>
    <w:rsid w:val="00A07BC8"/>
    <w:rsid w:val="00A37D69"/>
    <w:rsid w:val="00A424B5"/>
    <w:rsid w:val="00A80DF3"/>
    <w:rsid w:val="00AA2987"/>
    <w:rsid w:val="00AB6710"/>
    <w:rsid w:val="00AE2876"/>
    <w:rsid w:val="00AE2CBB"/>
    <w:rsid w:val="00AE4BEB"/>
    <w:rsid w:val="00AE51F4"/>
    <w:rsid w:val="00B26FD8"/>
    <w:rsid w:val="00BB36DA"/>
    <w:rsid w:val="00BC31D0"/>
    <w:rsid w:val="00BF39FB"/>
    <w:rsid w:val="00BF6B47"/>
    <w:rsid w:val="00C25F11"/>
    <w:rsid w:val="00C27284"/>
    <w:rsid w:val="00C27A27"/>
    <w:rsid w:val="00C36EAA"/>
    <w:rsid w:val="00C51658"/>
    <w:rsid w:val="00C61EC0"/>
    <w:rsid w:val="00C73B58"/>
    <w:rsid w:val="00C814A1"/>
    <w:rsid w:val="00C96BE0"/>
    <w:rsid w:val="00CA687F"/>
    <w:rsid w:val="00CB3794"/>
    <w:rsid w:val="00CF7BBC"/>
    <w:rsid w:val="00D41403"/>
    <w:rsid w:val="00D778D4"/>
    <w:rsid w:val="00D91477"/>
    <w:rsid w:val="00E343A2"/>
    <w:rsid w:val="00E46D25"/>
    <w:rsid w:val="00E568AA"/>
    <w:rsid w:val="00E74CD5"/>
    <w:rsid w:val="00E941D4"/>
    <w:rsid w:val="00EA118F"/>
    <w:rsid w:val="00EC0AD3"/>
    <w:rsid w:val="00EC126C"/>
    <w:rsid w:val="00EC70BE"/>
    <w:rsid w:val="00EF5A42"/>
    <w:rsid w:val="00F27824"/>
    <w:rsid w:val="00F30236"/>
    <w:rsid w:val="00F5077D"/>
    <w:rsid w:val="00F54373"/>
    <w:rsid w:val="00F80601"/>
    <w:rsid w:val="00F912A1"/>
    <w:rsid w:val="00F91F14"/>
    <w:rsid w:val="00FD119D"/>
    <w:rsid w:val="00FE5E1E"/>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A31266"/>
  <w15:docId w15:val="{B28E7AB1-2473-44FC-8CDE-4A8E0736F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077D"/>
    <w:pPr>
      <w:spacing w:after="0" w:line="240" w:lineRule="auto"/>
    </w:pPr>
    <w:rPr>
      <w:rFonts w:ascii="Times New Roman" w:hAnsi="Times New Roman" w:cs="Times New Roman"/>
      <w:sz w:val="24"/>
      <w:szCs w:val="24"/>
    </w:rPr>
  </w:style>
  <w:style w:type="paragraph" w:styleId="Heading1">
    <w:name w:val="heading 1"/>
    <w:basedOn w:val="Normal"/>
    <w:next w:val="Normal"/>
    <w:link w:val="Heading1Char"/>
    <w:uiPriority w:val="9"/>
    <w:qFormat/>
    <w:rsid w:val="00030EC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27284"/>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0EC9"/>
    <w:rPr>
      <w:rFonts w:asciiTheme="majorHAnsi" w:eastAsiaTheme="majorEastAsia" w:hAnsiTheme="majorHAnsi" w:cstheme="majorBidi"/>
      <w:b/>
      <w:bCs/>
      <w:color w:val="365F91" w:themeColor="accent1" w:themeShade="BF"/>
      <w:sz w:val="28"/>
      <w:szCs w:val="28"/>
    </w:rPr>
  </w:style>
  <w:style w:type="table" w:styleId="LightShading-Accent1">
    <w:name w:val="Light Shading Accent 1"/>
    <w:basedOn w:val="TableNormal"/>
    <w:uiPriority w:val="60"/>
    <w:rsid w:val="00030EC9"/>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Heading2Char">
    <w:name w:val="Heading 2 Char"/>
    <w:basedOn w:val="DefaultParagraphFont"/>
    <w:link w:val="Heading2"/>
    <w:uiPriority w:val="9"/>
    <w:rsid w:val="00C27284"/>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C27284"/>
    <w:pPr>
      <w:ind w:left="720"/>
      <w:contextualSpacing/>
    </w:pPr>
  </w:style>
  <w:style w:type="table" w:styleId="TableGrid">
    <w:name w:val="Table Grid"/>
    <w:basedOn w:val="TableNormal"/>
    <w:uiPriority w:val="59"/>
    <w:rsid w:val="00455A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semiHidden/>
    <w:unhideWhenUsed/>
    <w:rsid w:val="00AA2987"/>
    <w:rPr>
      <w:rFonts w:ascii="Calibri" w:hAnsi="Calibri"/>
    </w:rPr>
  </w:style>
  <w:style w:type="character" w:customStyle="1" w:styleId="PlainTextChar">
    <w:name w:val="Plain Text Char"/>
    <w:basedOn w:val="DefaultParagraphFont"/>
    <w:link w:val="PlainText"/>
    <w:uiPriority w:val="99"/>
    <w:semiHidden/>
    <w:rsid w:val="00AA2987"/>
    <w:rPr>
      <w:rFonts w:ascii="Calibri" w:hAnsi="Calibri" w:cs="Times New Roman"/>
    </w:rPr>
  </w:style>
  <w:style w:type="paragraph" w:styleId="BalloonText">
    <w:name w:val="Balloon Text"/>
    <w:basedOn w:val="Normal"/>
    <w:link w:val="BalloonTextChar"/>
    <w:uiPriority w:val="99"/>
    <w:semiHidden/>
    <w:unhideWhenUsed/>
    <w:rsid w:val="001718DD"/>
    <w:rPr>
      <w:rFonts w:ascii="Tahoma" w:hAnsi="Tahoma" w:cs="Tahoma"/>
      <w:sz w:val="16"/>
      <w:szCs w:val="16"/>
    </w:rPr>
  </w:style>
  <w:style w:type="character" w:customStyle="1" w:styleId="BalloonTextChar">
    <w:name w:val="Balloon Text Char"/>
    <w:basedOn w:val="DefaultParagraphFont"/>
    <w:link w:val="BalloonText"/>
    <w:uiPriority w:val="99"/>
    <w:semiHidden/>
    <w:rsid w:val="001718DD"/>
    <w:rPr>
      <w:rFonts w:ascii="Tahoma" w:hAnsi="Tahoma" w:cs="Tahoma"/>
      <w:sz w:val="16"/>
      <w:szCs w:val="16"/>
    </w:rPr>
  </w:style>
  <w:style w:type="character" w:styleId="Hyperlink">
    <w:name w:val="Hyperlink"/>
    <w:basedOn w:val="DefaultParagraphFont"/>
    <w:uiPriority w:val="99"/>
    <w:unhideWhenUsed/>
    <w:rsid w:val="00E46D25"/>
    <w:rPr>
      <w:color w:val="0000FF" w:themeColor="hyperlink"/>
      <w:u w:val="single"/>
    </w:rPr>
  </w:style>
  <w:style w:type="paragraph" w:styleId="NormalWeb">
    <w:name w:val="Normal (Web)"/>
    <w:basedOn w:val="Normal"/>
    <w:uiPriority w:val="99"/>
    <w:unhideWhenUsed/>
    <w:rsid w:val="00F5077D"/>
    <w:pPr>
      <w:spacing w:before="100" w:beforeAutospacing="1" w:after="100" w:afterAutospacing="1"/>
    </w:pPr>
  </w:style>
  <w:style w:type="character" w:styleId="Emphasis">
    <w:name w:val="Emphasis"/>
    <w:basedOn w:val="DefaultParagraphFont"/>
    <w:uiPriority w:val="20"/>
    <w:qFormat/>
    <w:rsid w:val="00F5077D"/>
    <w:rPr>
      <w:i/>
      <w:iCs/>
    </w:rPr>
  </w:style>
  <w:style w:type="character" w:customStyle="1" w:styleId="apple-converted-space">
    <w:name w:val="apple-converted-space"/>
    <w:basedOn w:val="DefaultParagraphFont"/>
    <w:rsid w:val="00F5077D"/>
  </w:style>
  <w:style w:type="paragraph" w:customStyle="1" w:styleId="rteindent1">
    <w:name w:val="rteindent1"/>
    <w:basedOn w:val="Normal"/>
    <w:rsid w:val="00F5077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651197">
      <w:bodyDiv w:val="1"/>
      <w:marLeft w:val="0"/>
      <w:marRight w:val="0"/>
      <w:marTop w:val="0"/>
      <w:marBottom w:val="0"/>
      <w:divBdr>
        <w:top w:val="none" w:sz="0" w:space="0" w:color="auto"/>
        <w:left w:val="none" w:sz="0" w:space="0" w:color="auto"/>
        <w:bottom w:val="none" w:sz="0" w:space="0" w:color="auto"/>
        <w:right w:val="none" w:sz="0" w:space="0" w:color="auto"/>
      </w:divBdr>
    </w:div>
    <w:div w:id="62071282">
      <w:bodyDiv w:val="1"/>
      <w:marLeft w:val="0"/>
      <w:marRight w:val="0"/>
      <w:marTop w:val="0"/>
      <w:marBottom w:val="0"/>
      <w:divBdr>
        <w:top w:val="none" w:sz="0" w:space="0" w:color="auto"/>
        <w:left w:val="none" w:sz="0" w:space="0" w:color="auto"/>
        <w:bottom w:val="none" w:sz="0" w:space="0" w:color="auto"/>
        <w:right w:val="none" w:sz="0" w:space="0" w:color="auto"/>
      </w:divBdr>
    </w:div>
    <w:div w:id="107090739">
      <w:bodyDiv w:val="1"/>
      <w:marLeft w:val="0"/>
      <w:marRight w:val="0"/>
      <w:marTop w:val="0"/>
      <w:marBottom w:val="0"/>
      <w:divBdr>
        <w:top w:val="none" w:sz="0" w:space="0" w:color="auto"/>
        <w:left w:val="none" w:sz="0" w:space="0" w:color="auto"/>
        <w:bottom w:val="none" w:sz="0" w:space="0" w:color="auto"/>
        <w:right w:val="none" w:sz="0" w:space="0" w:color="auto"/>
      </w:divBdr>
    </w:div>
    <w:div w:id="198667959">
      <w:bodyDiv w:val="1"/>
      <w:marLeft w:val="0"/>
      <w:marRight w:val="0"/>
      <w:marTop w:val="0"/>
      <w:marBottom w:val="0"/>
      <w:divBdr>
        <w:top w:val="none" w:sz="0" w:space="0" w:color="auto"/>
        <w:left w:val="none" w:sz="0" w:space="0" w:color="auto"/>
        <w:bottom w:val="none" w:sz="0" w:space="0" w:color="auto"/>
        <w:right w:val="none" w:sz="0" w:space="0" w:color="auto"/>
      </w:divBdr>
    </w:div>
    <w:div w:id="309016071">
      <w:bodyDiv w:val="1"/>
      <w:marLeft w:val="0"/>
      <w:marRight w:val="0"/>
      <w:marTop w:val="0"/>
      <w:marBottom w:val="0"/>
      <w:divBdr>
        <w:top w:val="none" w:sz="0" w:space="0" w:color="auto"/>
        <w:left w:val="none" w:sz="0" w:space="0" w:color="auto"/>
        <w:bottom w:val="none" w:sz="0" w:space="0" w:color="auto"/>
        <w:right w:val="none" w:sz="0" w:space="0" w:color="auto"/>
      </w:divBdr>
    </w:div>
    <w:div w:id="330791402">
      <w:bodyDiv w:val="1"/>
      <w:marLeft w:val="0"/>
      <w:marRight w:val="0"/>
      <w:marTop w:val="0"/>
      <w:marBottom w:val="0"/>
      <w:divBdr>
        <w:top w:val="none" w:sz="0" w:space="0" w:color="auto"/>
        <w:left w:val="none" w:sz="0" w:space="0" w:color="auto"/>
        <w:bottom w:val="none" w:sz="0" w:space="0" w:color="auto"/>
        <w:right w:val="none" w:sz="0" w:space="0" w:color="auto"/>
      </w:divBdr>
    </w:div>
    <w:div w:id="412312218">
      <w:bodyDiv w:val="1"/>
      <w:marLeft w:val="0"/>
      <w:marRight w:val="0"/>
      <w:marTop w:val="0"/>
      <w:marBottom w:val="0"/>
      <w:divBdr>
        <w:top w:val="none" w:sz="0" w:space="0" w:color="auto"/>
        <w:left w:val="none" w:sz="0" w:space="0" w:color="auto"/>
        <w:bottom w:val="none" w:sz="0" w:space="0" w:color="auto"/>
        <w:right w:val="none" w:sz="0" w:space="0" w:color="auto"/>
      </w:divBdr>
    </w:div>
    <w:div w:id="501630926">
      <w:bodyDiv w:val="1"/>
      <w:marLeft w:val="0"/>
      <w:marRight w:val="0"/>
      <w:marTop w:val="0"/>
      <w:marBottom w:val="0"/>
      <w:divBdr>
        <w:top w:val="none" w:sz="0" w:space="0" w:color="auto"/>
        <w:left w:val="none" w:sz="0" w:space="0" w:color="auto"/>
        <w:bottom w:val="none" w:sz="0" w:space="0" w:color="auto"/>
        <w:right w:val="none" w:sz="0" w:space="0" w:color="auto"/>
      </w:divBdr>
    </w:div>
    <w:div w:id="538325751">
      <w:bodyDiv w:val="1"/>
      <w:marLeft w:val="0"/>
      <w:marRight w:val="0"/>
      <w:marTop w:val="0"/>
      <w:marBottom w:val="0"/>
      <w:divBdr>
        <w:top w:val="none" w:sz="0" w:space="0" w:color="auto"/>
        <w:left w:val="none" w:sz="0" w:space="0" w:color="auto"/>
        <w:bottom w:val="none" w:sz="0" w:space="0" w:color="auto"/>
        <w:right w:val="none" w:sz="0" w:space="0" w:color="auto"/>
      </w:divBdr>
    </w:div>
    <w:div w:id="644362037">
      <w:bodyDiv w:val="1"/>
      <w:marLeft w:val="0"/>
      <w:marRight w:val="0"/>
      <w:marTop w:val="0"/>
      <w:marBottom w:val="0"/>
      <w:divBdr>
        <w:top w:val="none" w:sz="0" w:space="0" w:color="auto"/>
        <w:left w:val="none" w:sz="0" w:space="0" w:color="auto"/>
        <w:bottom w:val="none" w:sz="0" w:space="0" w:color="auto"/>
        <w:right w:val="none" w:sz="0" w:space="0" w:color="auto"/>
      </w:divBdr>
    </w:div>
    <w:div w:id="646201641">
      <w:bodyDiv w:val="1"/>
      <w:marLeft w:val="0"/>
      <w:marRight w:val="0"/>
      <w:marTop w:val="0"/>
      <w:marBottom w:val="0"/>
      <w:divBdr>
        <w:top w:val="none" w:sz="0" w:space="0" w:color="auto"/>
        <w:left w:val="none" w:sz="0" w:space="0" w:color="auto"/>
        <w:bottom w:val="none" w:sz="0" w:space="0" w:color="auto"/>
        <w:right w:val="none" w:sz="0" w:space="0" w:color="auto"/>
      </w:divBdr>
    </w:div>
    <w:div w:id="697588198">
      <w:bodyDiv w:val="1"/>
      <w:marLeft w:val="0"/>
      <w:marRight w:val="0"/>
      <w:marTop w:val="0"/>
      <w:marBottom w:val="0"/>
      <w:divBdr>
        <w:top w:val="none" w:sz="0" w:space="0" w:color="auto"/>
        <w:left w:val="none" w:sz="0" w:space="0" w:color="auto"/>
        <w:bottom w:val="none" w:sz="0" w:space="0" w:color="auto"/>
        <w:right w:val="none" w:sz="0" w:space="0" w:color="auto"/>
      </w:divBdr>
    </w:div>
    <w:div w:id="787089420">
      <w:bodyDiv w:val="1"/>
      <w:marLeft w:val="0"/>
      <w:marRight w:val="0"/>
      <w:marTop w:val="0"/>
      <w:marBottom w:val="0"/>
      <w:divBdr>
        <w:top w:val="none" w:sz="0" w:space="0" w:color="auto"/>
        <w:left w:val="none" w:sz="0" w:space="0" w:color="auto"/>
        <w:bottom w:val="none" w:sz="0" w:space="0" w:color="auto"/>
        <w:right w:val="none" w:sz="0" w:space="0" w:color="auto"/>
      </w:divBdr>
    </w:div>
    <w:div w:id="829491460">
      <w:bodyDiv w:val="1"/>
      <w:marLeft w:val="0"/>
      <w:marRight w:val="0"/>
      <w:marTop w:val="0"/>
      <w:marBottom w:val="0"/>
      <w:divBdr>
        <w:top w:val="none" w:sz="0" w:space="0" w:color="auto"/>
        <w:left w:val="none" w:sz="0" w:space="0" w:color="auto"/>
        <w:bottom w:val="none" w:sz="0" w:space="0" w:color="auto"/>
        <w:right w:val="none" w:sz="0" w:space="0" w:color="auto"/>
      </w:divBdr>
    </w:div>
    <w:div w:id="876548611">
      <w:bodyDiv w:val="1"/>
      <w:marLeft w:val="0"/>
      <w:marRight w:val="0"/>
      <w:marTop w:val="0"/>
      <w:marBottom w:val="0"/>
      <w:divBdr>
        <w:top w:val="none" w:sz="0" w:space="0" w:color="auto"/>
        <w:left w:val="none" w:sz="0" w:space="0" w:color="auto"/>
        <w:bottom w:val="none" w:sz="0" w:space="0" w:color="auto"/>
        <w:right w:val="none" w:sz="0" w:space="0" w:color="auto"/>
      </w:divBdr>
    </w:div>
    <w:div w:id="965310033">
      <w:bodyDiv w:val="1"/>
      <w:marLeft w:val="0"/>
      <w:marRight w:val="0"/>
      <w:marTop w:val="0"/>
      <w:marBottom w:val="0"/>
      <w:divBdr>
        <w:top w:val="none" w:sz="0" w:space="0" w:color="auto"/>
        <w:left w:val="none" w:sz="0" w:space="0" w:color="auto"/>
        <w:bottom w:val="none" w:sz="0" w:space="0" w:color="auto"/>
        <w:right w:val="none" w:sz="0" w:space="0" w:color="auto"/>
      </w:divBdr>
    </w:div>
    <w:div w:id="978605610">
      <w:bodyDiv w:val="1"/>
      <w:marLeft w:val="0"/>
      <w:marRight w:val="0"/>
      <w:marTop w:val="0"/>
      <w:marBottom w:val="0"/>
      <w:divBdr>
        <w:top w:val="none" w:sz="0" w:space="0" w:color="auto"/>
        <w:left w:val="none" w:sz="0" w:space="0" w:color="auto"/>
        <w:bottom w:val="none" w:sz="0" w:space="0" w:color="auto"/>
        <w:right w:val="none" w:sz="0" w:space="0" w:color="auto"/>
      </w:divBdr>
    </w:div>
    <w:div w:id="999191408">
      <w:bodyDiv w:val="1"/>
      <w:marLeft w:val="0"/>
      <w:marRight w:val="0"/>
      <w:marTop w:val="0"/>
      <w:marBottom w:val="0"/>
      <w:divBdr>
        <w:top w:val="none" w:sz="0" w:space="0" w:color="auto"/>
        <w:left w:val="none" w:sz="0" w:space="0" w:color="auto"/>
        <w:bottom w:val="none" w:sz="0" w:space="0" w:color="auto"/>
        <w:right w:val="none" w:sz="0" w:space="0" w:color="auto"/>
      </w:divBdr>
    </w:div>
    <w:div w:id="1216236512">
      <w:bodyDiv w:val="1"/>
      <w:marLeft w:val="0"/>
      <w:marRight w:val="0"/>
      <w:marTop w:val="0"/>
      <w:marBottom w:val="0"/>
      <w:divBdr>
        <w:top w:val="none" w:sz="0" w:space="0" w:color="auto"/>
        <w:left w:val="none" w:sz="0" w:space="0" w:color="auto"/>
        <w:bottom w:val="none" w:sz="0" w:space="0" w:color="auto"/>
        <w:right w:val="none" w:sz="0" w:space="0" w:color="auto"/>
      </w:divBdr>
    </w:div>
    <w:div w:id="1241793418">
      <w:bodyDiv w:val="1"/>
      <w:marLeft w:val="0"/>
      <w:marRight w:val="0"/>
      <w:marTop w:val="0"/>
      <w:marBottom w:val="0"/>
      <w:divBdr>
        <w:top w:val="none" w:sz="0" w:space="0" w:color="auto"/>
        <w:left w:val="none" w:sz="0" w:space="0" w:color="auto"/>
        <w:bottom w:val="none" w:sz="0" w:space="0" w:color="auto"/>
        <w:right w:val="none" w:sz="0" w:space="0" w:color="auto"/>
      </w:divBdr>
    </w:div>
    <w:div w:id="1372613813">
      <w:bodyDiv w:val="1"/>
      <w:marLeft w:val="0"/>
      <w:marRight w:val="0"/>
      <w:marTop w:val="0"/>
      <w:marBottom w:val="0"/>
      <w:divBdr>
        <w:top w:val="none" w:sz="0" w:space="0" w:color="auto"/>
        <w:left w:val="none" w:sz="0" w:space="0" w:color="auto"/>
        <w:bottom w:val="none" w:sz="0" w:space="0" w:color="auto"/>
        <w:right w:val="none" w:sz="0" w:space="0" w:color="auto"/>
      </w:divBdr>
    </w:div>
    <w:div w:id="1476601947">
      <w:bodyDiv w:val="1"/>
      <w:marLeft w:val="0"/>
      <w:marRight w:val="0"/>
      <w:marTop w:val="0"/>
      <w:marBottom w:val="0"/>
      <w:divBdr>
        <w:top w:val="none" w:sz="0" w:space="0" w:color="auto"/>
        <w:left w:val="none" w:sz="0" w:space="0" w:color="auto"/>
        <w:bottom w:val="none" w:sz="0" w:space="0" w:color="auto"/>
        <w:right w:val="none" w:sz="0" w:space="0" w:color="auto"/>
      </w:divBdr>
    </w:div>
    <w:div w:id="1488130883">
      <w:bodyDiv w:val="1"/>
      <w:marLeft w:val="0"/>
      <w:marRight w:val="0"/>
      <w:marTop w:val="0"/>
      <w:marBottom w:val="0"/>
      <w:divBdr>
        <w:top w:val="none" w:sz="0" w:space="0" w:color="auto"/>
        <w:left w:val="none" w:sz="0" w:space="0" w:color="auto"/>
        <w:bottom w:val="none" w:sz="0" w:space="0" w:color="auto"/>
        <w:right w:val="none" w:sz="0" w:space="0" w:color="auto"/>
      </w:divBdr>
    </w:div>
    <w:div w:id="1500392339">
      <w:bodyDiv w:val="1"/>
      <w:marLeft w:val="0"/>
      <w:marRight w:val="0"/>
      <w:marTop w:val="0"/>
      <w:marBottom w:val="0"/>
      <w:divBdr>
        <w:top w:val="none" w:sz="0" w:space="0" w:color="auto"/>
        <w:left w:val="none" w:sz="0" w:space="0" w:color="auto"/>
        <w:bottom w:val="none" w:sz="0" w:space="0" w:color="auto"/>
        <w:right w:val="none" w:sz="0" w:space="0" w:color="auto"/>
      </w:divBdr>
    </w:div>
    <w:div w:id="1506238679">
      <w:bodyDiv w:val="1"/>
      <w:marLeft w:val="0"/>
      <w:marRight w:val="0"/>
      <w:marTop w:val="0"/>
      <w:marBottom w:val="0"/>
      <w:divBdr>
        <w:top w:val="none" w:sz="0" w:space="0" w:color="auto"/>
        <w:left w:val="none" w:sz="0" w:space="0" w:color="auto"/>
        <w:bottom w:val="none" w:sz="0" w:space="0" w:color="auto"/>
        <w:right w:val="none" w:sz="0" w:space="0" w:color="auto"/>
      </w:divBdr>
    </w:div>
    <w:div w:id="1538153700">
      <w:bodyDiv w:val="1"/>
      <w:marLeft w:val="0"/>
      <w:marRight w:val="0"/>
      <w:marTop w:val="0"/>
      <w:marBottom w:val="0"/>
      <w:divBdr>
        <w:top w:val="none" w:sz="0" w:space="0" w:color="auto"/>
        <w:left w:val="none" w:sz="0" w:space="0" w:color="auto"/>
        <w:bottom w:val="none" w:sz="0" w:space="0" w:color="auto"/>
        <w:right w:val="none" w:sz="0" w:space="0" w:color="auto"/>
      </w:divBdr>
    </w:div>
    <w:div w:id="1561210360">
      <w:bodyDiv w:val="1"/>
      <w:marLeft w:val="0"/>
      <w:marRight w:val="0"/>
      <w:marTop w:val="0"/>
      <w:marBottom w:val="0"/>
      <w:divBdr>
        <w:top w:val="none" w:sz="0" w:space="0" w:color="auto"/>
        <w:left w:val="none" w:sz="0" w:space="0" w:color="auto"/>
        <w:bottom w:val="none" w:sz="0" w:space="0" w:color="auto"/>
        <w:right w:val="none" w:sz="0" w:space="0" w:color="auto"/>
      </w:divBdr>
    </w:div>
    <w:div w:id="1736002432">
      <w:bodyDiv w:val="1"/>
      <w:marLeft w:val="0"/>
      <w:marRight w:val="0"/>
      <w:marTop w:val="0"/>
      <w:marBottom w:val="0"/>
      <w:divBdr>
        <w:top w:val="none" w:sz="0" w:space="0" w:color="auto"/>
        <w:left w:val="none" w:sz="0" w:space="0" w:color="auto"/>
        <w:bottom w:val="none" w:sz="0" w:space="0" w:color="auto"/>
        <w:right w:val="none" w:sz="0" w:space="0" w:color="auto"/>
      </w:divBdr>
    </w:div>
    <w:div w:id="1782647756">
      <w:bodyDiv w:val="1"/>
      <w:marLeft w:val="0"/>
      <w:marRight w:val="0"/>
      <w:marTop w:val="0"/>
      <w:marBottom w:val="0"/>
      <w:divBdr>
        <w:top w:val="none" w:sz="0" w:space="0" w:color="auto"/>
        <w:left w:val="none" w:sz="0" w:space="0" w:color="auto"/>
        <w:bottom w:val="none" w:sz="0" w:space="0" w:color="auto"/>
        <w:right w:val="none" w:sz="0" w:space="0" w:color="auto"/>
      </w:divBdr>
    </w:div>
    <w:div w:id="1994721803">
      <w:bodyDiv w:val="1"/>
      <w:marLeft w:val="0"/>
      <w:marRight w:val="0"/>
      <w:marTop w:val="0"/>
      <w:marBottom w:val="0"/>
      <w:divBdr>
        <w:top w:val="none" w:sz="0" w:space="0" w:color="auto"/>
        <w:left w:val="none" w:sz="0" w:space="0" w:color="auto"/>
        <w:bottom w:val="none" w:sz="0" w:space="0" w:color="auto"/>
        <w:right w:val="none" w:sz="0" w:space="0" w:color="auto"/>
      </w:divBdr>
    </w:div>
    <w:div w:id="2048525286">
      <w:bodyDiv w:val="1"/>
      <w:marLeft w:val="0"/>
      <w:marRight w:val="0"/>
      <w:marTop w:val="0"/>
      <w:marBottom w:val="0"/>
      <w:divBdr>
        <w:top w:val="none" w:sz="0" w:space="0" w:color="auto"/>
        <w:left w:val="none" w:sz="0" w:space="0" w:color="auto"/>
        <w:bottom w:val="none" w:sz="0" w:space="0" w:color="auto"/>
        <w:right w:val="none" w:sz="0" w:space="0" w:color="auto"/>
      </w:divBdr>
    </w:div>
    <w:div w:id="2056268231">
      <w:bodyDiv w:val="1"/>
      <w:marLeft w:val="0"/>
      <w:marRight w:val="0"/>
      <w:marTop w:val="0"/>
      <w:marBottom w:val="0"/>
      <w:divBdr>
        <w:top w:val="none" w:sz="0" w:space="0" w:color="auto"/>
        <w:left w:val="none" w:sz="0" w:space="0" w:color="auto"/>
        <w:bottom w:val="none" w:sz="0" w:space="0" w:color="auto"/>
        <w:right w:val="none" w:sz="0" w:space="0" w:color="auto"/>
      </w:divBdr>
    </w:div>
    <w:div w:id="2077700729">
      <w:bodyDiv w:val="1"/>
      <w:marLeft w:val="0"/>
      <w:marRight w:val="0"/>
      <w:marTop w:val="0"/>
      <w:marBottom w:val="0"/>
      <w:divBdr>
        <w:top w:val="none" w:sz="0" w:space="0" w:color="auto"/>
        <w:left w:val="none" w:sz="0" w:space="0" w:color="auto"/>
        <w:bottom w:val="none" w:sz="0" w:space="0" w:color="auto"/>
        <w:right w:val="none" w:sz="0" w:space="0" w:color="auto"/>
      </w:divBdr>
    </w:div>
    <w:div w:id="2093623798">
      <w:bodyDiv w:val="1"/>
      <w:marLeft w:val="0"/>
      <w:marRight w:val="0"/>
      <w:marTop w:val="0"/>
      <w:marBottom w:val="0"/>
      <w:divBdr>
        <w:top w:val="none" w:sz="0" w:space="0" w:color="auto"/>
        <w:left w:val="none" w:sz="0" w:space="0" w:color="auto"/>
        <w:bottom w:val="none" w:sz="0" w:space="0" w:color="auto"/>
        <w:right w:val="none" w:sz="0" w:space="0" w:color="auto"/>
      </w:divBdr>
    </w:div>
    <w:div w:id="2145923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1818</TotalTime>
  <Pages>4</Pages>
  <Words>834</Words>
  <Characters>4756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University of Edinburgh</Company>
  <LinksUpToDate>false</LinksUpToDate>
  <CharactersWithSpaces>5579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RITCHIE</dc:creator>
  <cp:lastModifiedBy>FRANCESCHI Maurice</cp:lastModifiedBy>
  <cp:revision>22</cp:revision>
  <dcterms:created xsi:type="dcterms:W3CDTF">2015-07-22T09:00:00Z</dcterms:created>
  <dcterms:modified xsi:type="dcterms:W3CDTF">2015-07-27T13:53:00Z</dcterms:modified>
</cp:coreProperties>
</file>